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269"/>
        <w:gridCol w:w="7654"/>
      </w:tblGrid>
      <w:tr w:rsidR="001F1F37" w:rsidRPr="00A93160" w14:paraId="7A283691" w14:textId="77777777" w:rsidTr="00A93160">
        <w:trPr>
          <w:trHeight w:val="1372"/>
        </w:trPr>
        <w:tc>
          <w:tcPr>
            <w:tcW w:w="10206" w:type="dxa"/>
            <w:gridSpan w:val="3"/>
            <w:shd w:val="clear" w:color="auto" w:fill="auto"/>
            <w:vAlign w:val="center"/>
          </w:tcPr>
          <w:p w14:paraId="6E37CB00" w14:textId="77777777" w:rsidR="001F1F37" w:rsidRPr="00A93160"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A93160">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6D739FBB" w14:textId="77777777" w:rsidR="001F1F37" w:rsidRPr="00A93160"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A93160">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07C3B5F5" w14:textId="77777777" w:rsidR="001F1F37" w:rsidRPr="00A93160"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A93160">
              <w:rPr>
                <w:rFonts w:ascii="Times New Roman" w:eastAsia="Times New Roman" w:hAnsi="Times New Roman" w:cs="Times New Roman"/>
                <w:b/>
                <w:spacing w:val="-10"/>
                <w:sz w:val="28"/>
                <w:szCs w:val="28"/>
                <w:lang w:val="uk-UA"/>
              </w:rPr>
              <w:t>вартості предмета закупівлі</w:t>
            </w:r>
          </w:p>
        </w:tc>
      </w:tr>
      <w:tr w:rsidR="001F1F37" w:rsidRPr="00157EF1" w14:paraId="0D152233" w14:textId="77777777" w:rsidTr="00A93160">
        <w:trPr>
          <w:trHeight w:val="847"/>
        </w:trPr>
        <w:tc>
          <w:tcPr>
            <w:tcW w:w="283" w:type="dxa"/>
            <w:shd w:val="clear" w:color="auto" w:fill="auto"/>
            <w:vAlign w:val="center"/>
          </w:tcPr>
          <w:p w14:paraId="73C24C36" w14:textId="77777777" w:rsidR="001F1F37" w:rsidRPr="00A93160" w:rsidRDefault="001F1F37" w:rsidP="00457000">
            <w:pPr>
              <w:spacing w:after="0" w:line="240" w:lineRule="auto"/>
              <w:jc w:val="center"/>
              <w:rPr>
                <w:rFonts w:ascii="Times New Roman" w:eastAsia="Times New Roman" w:hAnsi="Times New Roman" w:cs="Times New Roman"/>
                <w:bCs/>
                <w:spacing w:val="-10"/>
                <w:sz w:val="28"/>
                <w:szCs w:val="28"/>
                <w:lang w:val="uk-UA"/>
              </w:rPr>
            </w:pPr>
            <w:r w:rsidRPr="00A93160">
              <w:rPr>
                <w:rFonts w:ascii="Times New Roman" w:eastAsia="Times New Roman" w:hAnsi="Times New Roman" w:cs="Times New Roman"/>
                <w:bCs/>
                <w:spacing w:val="-10"/>
                <w:sz w:val="28"/>
                <w:szCs w:val="28"/>
                <w:lang w:val="uk-UA"/>
              </w:rPr>
              <w:t>1</w:t>
            </w:r>
          </w:p>
        </w:tc>
        <w:tc>
          <w:tcPr>
            <w:tcW w:w="2269" w:type="dxa"/>
            <w:shd w:val="clear" w:color="auto" w:fill="auto"/>
            <w:vAlign w:val="center"/>
          </w:tcPr>
          <w:p w14:paraId="7FF2B76A" w14:textId="77777777" w:rsidR="001F1F37" w:rsidRPr="00A93160" w:rsidRDefault="001F1F37" w:rsidP="00457000">
            <w:pPr>
              <w:spacing w:after="0" w:line="240" w:lineRule="auto"/>
              <w:rPr>
                <w:rFonts w:ascii="Times New Roman" w:eastAsia="Times New Roman" w:hAnsi="Times New Roman" w:cs="Times New Roman"/>
                <w:bCs/>
                <w:spacing w:val="-10"/>
                <w:sz w:val="28"/>
                <w:szCs w:val="28"/>
                <w:lang w:val="uk-UA"/>
              </w:rPr>
            </w:pPr>
            <w:r w:rsidRPr="00A93160">
              <w:rPr>
                <w:rFonts w:ascii="Times New Roman" w:eastAsia="Times New Roman" w:hAnsi="Times New Roman" w:cs="Times New Roman"/>
                <w:bCs/>
                <w:spacing w:val="-10"/>
                <w:sz w:val="28"/>
                <w:szCs w:val="28"/>
                <w:lang w:val="uk-UA"/>
              </w:rPr>
              <w:t>Назва предмета закупівлі</w:t>
            </w:r>
          </w:p>
        </w:tc>
        <w:tc>
          <w:tcPr>
            <w:tcW w:w="7654" w:type="dxa"/>
            <w:shd w:val="clear" w:color="auto" w:fill="auto"/>
            <w:vAlign w:val="center"/>
          </w:tcPr>
          <w:p w14:paraId="1D734AD5" w14:textId="77777777" w:rsidR="00D257E6" w:rsidRPr="00A93160" w:rsidRDefault="00457000" w:rsidP="00457000">
            <w:pPr>
              <w:pStyle w:val="1"/>
              <w:shd w:val="clear" w:color="auto" w:fill="FFFFFF"/>
              <w:spacing w:before="0" w:line="240" w:lineRule="auto"/>
              <w:jc w:val="both"/>
              <w:textAlignment w:val="baseline"/>
              <w:rPr>
                <w:rFonts w:ascii="Times New Roman" w:hAnsi="Times New Roman" w:cs="Times New Roman"/>
                <w:color w:val="auto"/>
                <w:sz w:val="28"/>
                <w:szCs w:val="28"/>
                <w:lang w:val="uk-UA"/>
              </w:rPr>
            </w:pPr>
            <w:r w:rsidRPr="00A93160">
              <w:rPr>
                <w:rFonts w:ascii="Times New Roman" w:eastAsiaTheme="minorHAnsi" w:hAnsi="Times New Roman" w:cs="Times New Roman"/>
                <w:color w:val="auto"/>
                <w:sz w:val="28"/>
                <w:szCs w:val="28"/>
                <w:shd w:val="clear" w:color="auto" w:fill="FFFFFF"/>
                <w:lang w:val="uk-UA" w:eastAsia="en-US"/>
              </w:rPr>
              <w:t>Послуги лікувальних закладів та супутні послуги</w:t>
            </w:r>
            <w:r w:rsidR="00D257E6" w:rsidRPr="00A93160">
              <w:rPr>
                <w:rFonts w:ascii="Times New Roman" w:hAnsi="Times New Roman" w:cs="Times New Roman"/>
                <w:color w:val="auto"/>
                <w:sz w:val="28"/>
                <w:szCs w:val="28"/>
                <w:lang w:val="uk-UA"/>
              </w:rPr>
              <w:t xml:space="preserve"> </w:t>
            </w:r>
            <w:r w:rsidR="00D257E6" w:rsidRPr="00A93160">
              <w:rPr>
                <w:rFonts w:ascii="Times New Roman" w:hAnsi="Times New Roman" w:cs="Times New Roman"/>
                <w:bCs/>
                <w:color w:val="auto"/>
                <w:sz w:val="28"/>
                <w:szCs w:val="28"/>
                <w:lang w:val="uk-UA"/>
              </w:rPr>
              <w:t xml:space="preserve">– за кодом ДК 021:2015 – </w:t>
            </w:r>
            <w:r w:rsidRPr="00A93160">
              <w:rPr>
                <w:rFonts w:ascii="Times New Roman" w:eastAsiaTheme="minorHAnsi" w:hAnsi="Times New Roman" w:cs="Times New Roman"/>
                <w:color w:val="auto"/>
                <w:sz w:val="28"/>
                <w:szCs w:val="28"/>
                <w:shd w:val="clear" w:color="auto" w:fill="FFFFFF"/>
                <w:lang w:val="uk-UA" w:eastAsia="en-US"/>
              </w:rPr>
              <w:t xml:space="preserve">85110000-3 </w:t>
            </w:r>
            <w:r w:rsidR="00D257E6" w:rsidRPr="00A93160">
              <w:rPr>
                <w:rFonts w:ascii="Times New Roman" w:hAnsi="Times New Roman" w:cs="Times New Roman"/>
                <w:bCs/>
                <w:color w:val="auto"/>
                <w:sz w:val="28"/>
                <w:szCs w:val="28"/>
                <w:lang w:val="uk-UA"/>
              </w:rPr>
              <w:t>(</w:t>
            </w:r>
            <w:r w:rsidRPr="00A93160">
              <w:rPr>
                <w:rFonts w:ascii="Times New Roman" w:hAnsi="Times New Roman" w:cs="Times New Roman"/>
                <w:color w:val="auto"/>
                <w:sz w:val="28"/>
                <w:szCs w:val="28"/>
                <w:lang w:val="uk-UA"/>
              </w:rPr>
              <w:t>Послуги з проведення обов’язкового профілактичного медичного огляду працівників закладів та установ освіти Білгород-Дністровської міської ради</w:t>
            </w:r>
            <w:r w:rsidR="00D257E6" w:rsidRPr="00A93160">
              <w:rPr>
                <w:rFonts w:ascii="Times New Roman" w:hAnsi="Times New Roman" w:cs="Times New Roman"/>
                <w:bCs/>
                <w:color w:val="auto"/>
                <w:sz w:val="28"/>
                <w:szCs w:val="28"/>
                <w:lang w:val="uk-UA"/>
              </w:rPr>
              <w:t>)</w:t>
            </w:r>
          </w:p>
          <w:p w14:paraId="6B0A8174" w14:textId="77777777" w:rsidR="001F1F37" w:rsidRPr="009B145F" w:rsidRDefault="007A5D45" w:rsidP="0095448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(ідентифікатор закупівлі:</w:t>
            </w:r>
            <w:r w:rsidRPr="007A5D45">
              <w:rPr>
                <w:rFonts w:ascii="Times New Roman" w:eastAsia="Calibri" w:hAnsi="Times New Roman" w:cs="Times New Roman"/>
                <w:sz w:val="28"/>
                <w:szCs w:val="28"/>
                <w:u w:val="single"/>
                <w:lang w:val="uk-UA" w:eastAsia="ar-SA"/>
              </w:rPr>
              <w:t xml:space="preserve"> </w:t>
            </w:r>
            <w:r w:rsidRPr="007A5D45">
              <w:rPr>
                <w:rFonts w:ascii="Times New Roman" w:hAnsi="Times New Roman" w:cs="Times New Roman"/>
                <w:sz w:val="28"/>
                <w:szCs w:val="28"/>
                <w:u w:val="single"/>
              </w:rPr>
              <w:t>ID</w:t>
            </w:r>
            <w:r w:rsidRPr="007A5D45">
              <w:rPr>
                <w:rFonts w:ascii="Times New Roman" w:hAnsi="Times New Roman" w:cs="Times New Roman"/>
                <w:sz w:val="28"/>
                <w:szCs w:val="28"/>
                <w:u w:val="single"/>
                <w:lang w:val="uk-UA"/>
              </w:rPr>
              <w:t>:</w:t>
            </w:r>
            <w:r w:rsidRPr="007A5D45">
              <w:rPr>
                <w:rFonts w:ascii="Times New Roman" w:hAnsi="Times New Roman" w:cs="Times New Roman"/>
                <w:sz w:val="28"/>
                <w:szCs w:val="28"/>
                <w:u w:val="single"/>
              </w:rPr>
              <w:t> </w:t>
            </w:r>
            <w:r w:rsidR="000C200B" w:rsidRPr="000C200B">
              <w:rPr>
                <w:rFonts w:ascii="Times New Roman" w:hAnsi="Times New Roman" w:cs="Times New Roman"/>
                <w:sz w:val="28"/>
                <w:szCs w:val="28"/>
                <w:u w:val="single"/>
              </w:rPr>
              <w:t>UA</w:t>
            </w:r>
            <w:r w:rsidR="000C200B" w:rsidRPr="000C200B">
              <w:rPr>
                <w:rFonts w:ascii="Times New Roman" w:hAnsi="Times New Roman" w:cs="Times New Roman"/>
                <w:sz w:val="28"/>
                <w:szCs w:val="28"/>
                <w:u w:val="single"/>
                <w:lang w:val="uk-UA"/>
              </w:rPr>
              <w:t>-2024-07-23-000505-</w:t>
            </w:r>
            <w:r w:rsidR="000C200B" w:rsidRPr="000C200B">
              <w:rPr>
                <w:rFonts w:ascii="Times New Roman" w:hAnsi="Times New Roman" w:cs="Times New Roman"/>
                <w:sz w:val="28"/>
                <w:szCs w:val="28"/>
                <w:u w:val="single"/>
              </w:rPr>
              <w:t>a</w:t>
            </w:r>
          </w:p>
        </w:tc>
      </w:tr>
      <w:tr w:rsidR="001F1F37" w:rsidRPr="00A93160" w14:paraId="08621134" w14:textId="77777777" w:rsidTr="00A93160">
        <w:trPr>
          <w:trHeight w:val="8356"/>
        </w:trPr>
        <w:tc>
          <w:tcPr>
            <w:tcW w:w="283" w:type="dxa"/>
            <w:shd w:val="clear" w:color="auto" w:fill="auto"/>
            <w:vAlign w:val="center"/>
          </w:tcPr>
          <w:p w14:paraId="7ECDB718" w14:textId="77777777" w:rsidR="001F1F37" w:rsidRPr="00A93160" w:rsidRDefault="001F1F37" w:rsidP="00457000">
            <w:pPr>
              <w:spacing w:after="0" w:line="240" w:lineRule="auto"/>
              <w:jc w:val="center"/>
              <w:rPr>
                <w:rFonts w:ascii="Times New Roman" w:eastAsia="Times New Roman" w:hAnsi="Times New Roman" w:cs="Times New Roman"/>
                <w:bCs/>
                <w:spacing w:val="-10"/>
                <w:sz w:val="28"/>
                <w:szCs w:val="28"/>
                <w:lang w:val="uk-UA"/>
              </w:rPr>
            </w:pPr>
            <w:r w:rsidRPr="00A93160">
              <w:rPr>
                <w:rFonts w:ascii="Times New Roman" w:eastAsia="Times New Roman" w:hAnsi="Times New Roman" w:cs="Times New Roman"/>
                <w:bCs/>
                <w:spacing w:val="-10"/>
                <w:sz w:val="28"/>
                <w:szCs w:val="28"/>
                <w:lang w:val="uk-UA"/>
              </w:rPr>
              <w:t>2</w:t>
            </w:r>
          </w:p>
        </w:tc>
        <w:tc>
          <w:tcPr>
            <w:tcW w:w="2269" w:type="dxa"/>
            <w:shd w:val="clear" w:color="auto" w:fill="auto"/>
            <w:vAlign w:val="center"/>
          </w:tcPr>
          <w:p w14:paraId="34F6193E" w14:textId="77777777" w:rsidR="001F1F37" w:rsidRPr="00A93160" w:rsidRDefault="001F1F37" w:rsidP="001F1F37">
            <w:pPr>
              <w:spacing w:after="0" w:line="240" w:lineRule="auto"/>
              <w:rPr>
                <w:rFonts w:ascii="Times New Roman" w:eastAsia="Times New Roman" w:hAnsi="Times New Roman" w:cs="Times New Roman"/>
                <w:bCs/>
                <w:spacing w:val="-10"/>
                <w:sz w:val="28"/>
                <w:szCs w:val="28"/>
                <w:lang w:val="uk-UA"/>
              </w:rPr>
            </w:pPr>
            <w:r w:rsidRPr="00A93160">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654" w:type="dxa"/>
            <w:shd w:val="clear" w:color="auto" w:fill="auto"/>
            <w:vAlign w:val="center"/>
          </w:tcPr>
          <w:p w14:paraId="60332D5F" w14:textId="77777777" w:rsidR="00457000" w:rsidRPr="00A93160" w:rsidRDefault="00457000" w:rsidP="00457000">
            <w:pPr>
              <w:spacing w:after="0" w:line="240" w:lineRule="auto"/>
              <w:jc w:val="both"/>
              <w:rPr>
                <w:rFonts w:ascii="Times New Roman" w:hAnsi="Times New Roman" w:cs="Times New Roman"/>
                <w:sz w:val="28"/>
                <w:szCs w:val="28"/>
                <w:lang w:val="uk-UA"/>
              </w:rPr>
            </w:pPr>
            <w:r w:rsidRPr="00A93160">
              <w:rPr>
                <w:rFonts w:ascii="Times New Roman" w:hAnsi="Times New Roman" w:cs="Times New Roman"/>
                <w:sz w:val="28"/>
                <w:szCs w:val="28"/>
                <w:lang w:val="uk-UA"/>
              </w:rPr>
              <w:t xml:space="preserve">Учасник – Виконавець повинен виконати комплекс заходів щодо проведення періодичного обов’язкового профілактичного медичного огляду працівників закладів та установ освіти Білгород-Дністровської міської ради відповідно до наказів МОЗ України № 280 від 23.07.2002 р. «Щодо організації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A93160">
              <w:rPr>
                <w:rFonts w:ascii="Times New Roman" w:hAnsi="Times New Roman" w:cs="Times New Roman"/>
                <w:sz w:val="28"/>
                <w:szCs w:val="28"/>
                <w:lang w:val="uk-UA"/>
              </w:rPr>
              <w:t>хвороб</w:t>
            </w:r>
            <w:proofErr w:type="spellEnd"/>
            <w:r w:rsidRPr="00A93160">
              <w:rPr>
                <w:rFonts w:ascii="Times New Roman" w:hAnsi="Times New Roman" w:cs="Times New Roman"/>
                <w:sz w:val="28"/>
                <w:szCs w:val="28"/>
                <w:lang w:val="uk-UA"/>
              </w:rPr>
              <w:t xml:space="preserve">» (із змінами), зареєстрованого в Міністерстві юстиції України 8 серпня 2002 р. за № </w:t>
            </w:r>
            <w:r w:rsidRPr="00A93160">
              <w:rPr>
                <w:rFonts w:ascii="Times New Roman" w:eastAsia="Arial" w:hAnsi="Times New Roman" w:cs="Times New Roman"/>
                <w:color w:val="000000"/>
                <w:spacing w:val="-4"/>
                <w:sz w:val="28"/>
                <w:szCs w:val="28"/>
                <w:lang w:val="uk-UA"/>
              </w:rPr>
              <w:t>639/6927</w:t>
            </w:r>
            <w:r w:rsidRPr="00A93160">
              <w:rPr>
                <w:rFonts w:ascii="Times New Roman" w:hAnsi="Times New Roman" w:cs="Times New Roman"/>
                <w:sz w:val="28"/>
                <w:szCs w:val="28"/>
                <w:lang w:val="uk-UA"/>
              </w:rPr>
              <w:t>(зі змінами),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від 18.04.2022р.,постанови КМУ від 23.05.2001р.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w:t>
            </w:r>
          </w:p>
          <w:p w14:paraId="26608B27" w14:textId="77777777" w:rsidR="00457000" w:rsidRPr="00A93160" w:rsidRDefault="00457000" w:rsidP="00457000">
            <w:pPr>
              <w:pStyle w:val="a6"/>
              <w:jc w:val="both"/>
              <w:rPr>
                <w:rFonts w:ascii="Times New Roman" w:hAnsi="Times New Roman" w:cs="Times New Roman"/>
                <w:sz w:val="28"/>
                <w:szCs w:val="28"/>
                <w:lang w:val="uk-UA"/>
              </w:rPr>
            </w:pPr>
            <w:r w:rsidRPr="00A93160">
              <w:rPr>
                <w:rFonts w:ascii="Times New Roman" w:hAnsi="Times New Roman" w:cs="Times New Roman"/>
                <w:sz w:val="28"/>
                <w:szCs w:val="28"/>
                <w:lang w:val="uk-UA"/>
              </w:rPr>
              <w:t>1. Учасник (Виконавець) надає послуги щодо проведення обов’язкових профілактичних медичних оглядів працівників закладів та установ освіти Білгород-Дністровської міської ради відповідно до поданих замовником списків, належної якості з дотриманням норм законодавства, які регламентують діяльність в даній сфері в обсязі згідно Таблиці</w:t>
            </w:r>
          </w:p>
          <w:tbl>
            <w:tblPr>
              <w:tblW w:w="5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599"/>
              <w:gridCol w:w="1559"/>
            </w:tblGrid>
            <w:tr w:rsidR="001E68A1" w:rsidRPr="00A93160" w14:paraId="65348B12" w14:textId="77777777" w:rsidTr="001E68A1">
              <w:trPr>
                <w:trHeight w:val="604"/>
              </w:trPr>
              <w:tc>
                <w:tcPr>
                  <w:tcW w:w="540" w:type="dxa"/>
                  <w:shd w:val="clear" w:color="auto" w:fill="auto"/>
                  <w:vAlign w:val="center"/>
                </w:tcPr>
                <w:p w14:paraId="60C71163" w14:textId="77777777" w:rsidR="001E68A1" w:rsidRPr="00A93160" w:rsidRDefault="001E68A1" w:rsidP="00C9092E">
                  <w:pPr>
                    <w:jc w:val="center"/>
                    <w:rPr>
                      <w:rFonts w:ascii="Times New Roman" w:eastAsia="Calibri" w:hAnsi="Times New Roman" w:cs="Times New Roman"/>
                      <w:sz w:val="28"/>
                      <w:szCs w:val="28"/>
                      <w:lang w:val="uk-UA"/>
                    </w:rPr>
                  </w:pPr>
                  <w:r w:rsidRPr="00A93160">
                    <w:rPr>
                      <w:rFonts w:ascii="Times New Roman" w:eastAsia="Calibri" w:hAnsi="Times New Roman" w:cs="Times New Roman"/>
                      <w:sz w:val="28"/>
                      <w:szCs w:val="28"/>
                      <w:lang w:val="uk-UA"/>
                    </w:rPr>
                    <w:t>№ з/п</w:t>
                  </w:r>
                </w:p>
              </w:tc>
              <w:tc>
                <w:tcPr>
                  <w:tcW w:w="3599" w:type="dxa"/>
                  <w:shd w:val="clear" w:color="auto" w:fill="auto"/>
                  <w:vAlign w:val="center"/>
                </w:tcPr>
                <w:p w14:paraId="4FF2E1F9" w14:textId="77777777" w:rsidR="001E68A1" w:rsidRPr="00A93160" w:rsidRDefault="001E68A1" w:rsidP="00C9092E">
                  <w:pPr>
                    <w:jc w:val="center"/>
                    <w:rPr>
                      <w:rFonts w:ascii="Times New Roman" w:eastAsia="Calibri" w:hAnsi="Times New Roman" w:cs="Times New Roman"/>
                      <w:sz w:val="28"/>
                      <w:szCs w:val="28"/>
                      <w:lang w:val="uk-UA"/>
                    </w:rPr>
                  </w:pPr>
                  <w:r w:rsidRPr="00A93160">
                    <w:rPr>
                      <w:rFonts w:ascii="Times New Roman" w:eastAsia="Calibri" w:hAnsi="Times New Roman" w:cs="Times New Roman"/>
                      <w:sz w:val="28"/>
                      <w:szCs w:val="28"/>
                      <w:lang w:val="uk-UA"/>
                    </w:rPr>
                    <w:t>Категорії працівників</w:t>
                  </w:r>
                </w:p>
              </w:tc>
              <w:tc>
                <w:tcPr>
                  <w:tcW w:w="1559" w:type="dxa"/>
                  <w:shd w:val="clear" w:color="auto" w:fill="auto"/>
                  <w:vAlign w:val="center"/>
                </w:tcPr>
                <w:p w14:paraId="33D3F396" w14:textId="77777777" w:rsidR="001E68A1" w:rsidRPr="00A93160" w:rsidRDefault="001E68A1" w:rsidP="00C9092E">
                  <w:pPr>
                    <w:ind w:right="-110"/>
                    <w:jc w:val="center"/>
                    <w:rPr>
                      <w:rFonts w:ascii="Times New Roman" w:eastAsia="Calibri" w:hAnsi="Times New Roman" w:cs="Times New Roman"/>
                      <w:sz w:val="28"/>
                      <w:szCs w:val="28"/>
                      <w:lang w:val="uk-UA"/>
                    </w:rPr>
                  </w:pPr>
                  <w:r w:rsidRPr="00A93160">
                    <w:rPr>
                      <w:rFonts w:ascii="Times New Roman" w:eastAsia="Calibri" w:hAnsi="Times New Roman" w:cs="Times New Roman"/>
                      <w:sz w:val="28"/>
                      <w:szCs w:val="28"/>
                      <w:lang w:val="uk-UA"/>
                    </w:rPr>
                    <w:t>Кількість працівників</w:t>
                  </w:r>
                </w:p>
              </w:tc>
            </w:tr>
            <w:tr w:rsidR="001E68A1" w:rsidRPr="00A93160" w14:paraId="598FC305" w14:textId="77777777" w:rsidTr="001E68A1">
              <w:trPr>
                <w:trHeight w:val="365"/>
              </w:trPr>
              <w:tc>
                <w:tcPr>
                  <w:tcW w:w="540" w:type="dxa"/>
                  <w:shd w:val="clear" w:color="auto" w:fill="auto"/>
                </w:tcPr>
                <w:p w14:paraId="2BC8199E" w14:textId="77777777" w:rsidR="001E68A1" w:rsidRPr="00A93160" w:rsidRDefault="001E68A1" w:rsidP="00C9092E">
                  <w:pPr>
                    <w:jc w:val="center"/>
                    <w:rPr>
                      <w:rFonts w:ascii="Times New Roman" w:eastAsia="Calibri" w:hAnsi="Times New Roman" w:cs="Times New Roman"/>
                      <w:sz w:val="28"/>
                      <w:szCs w:val="28"/>
                      <w:lang w:val="uk-UA"/>
                    </w:rPr>
                  </w:pPr>
                  <w:r w:rsidRPr="00A93160">
                    <w:rPr>
                      <w:rFonts w:ascii="Times New Roman" w:eastAsia="Calibri" w:hAnsi="Times New Roman" w:cs="Times New Roman"/>
                      <w:sz w:val="28"/>
                      <w:szCs w:val="28"/>
                      <w:lang w:val="uk-UA"/>
                    </w:rPr>
                    <w:t>1</w:t>
                  </w:r>
                </w:p>
              </w:tc>
              <w:tc>
                <w:tcPr>
                  <w:tcW w:w="3599" w:type="dxa"/>
                  <w:tcBorders>
                    <w:top w:val="single" w:sz="4" w:space="0" w:color="auto"/>
                    <w:left w:val="single" w:sz="4" w:space="0" w:color="auto"/>
                    <w:bottom w:val="single" w:sz="4" w:space="0" w:color="auto"/>
                    <w:right w:val="single" w:sz="4" w:space="0" w:color="auto"/>
                  </w:tcBorders>
                  <w:vAlign w:val="bottom"/>
                </w:tcPr>
                <w:p w14:paraId="368B8157" w14:textId="77777777" w:rsidR="001E68A1" w:rsidRPr="00A93160" w:rsidRDefault="001E68A1" w:rsidP="00C9092E">
                  <w:pPr>
                    <w:rPr>
                      <w:rFonts w:ascii="Times New Roman" w:eastAsia="Calibri" w:hAnsi="Times New Roman" w:cs="Times New Roman"/>
                      <w:sz w:val="28"/>
                      <w:szCs w:val="28"/>
                      <w:lang w:val="uk-UA"/>
                    </w:rPr>
                  </w:pPr>
                  <w:r w:rsidRPr="00A93160">
                    <w:rPr>
                      <w:rFonts w:ascii="Times New Roman" w:hAnsi="Times New Roman" w:cs="Times New Roman"/>
                      <w:sz w:val="28"/>
                      <w:szCs w:val="28"/>
                      <w:lang w:val="uk-UA"/>
                    </w:rPr>
                    <w:t>Працівники закладів та установ освіти (педпрацівники, медпрацівники, техперсонал та інші)</w:t>
                  </w:r>
                </w:p>
              </w:tc>
              <w:tc>
                <w:tcPr>
                  <w:tcW w:w="1559" w:type="dxa"/>
                  <w:shd w:val="clear" w:color="auto" w:fill="auto"/>
                </w:tcPr>
                <w:p w14:paraId="20EDB043" w14:textId="77777777" w:rsidR="001E68A1" w:rsidRPr="00A93160" w:rsidRDefault="009B145F" w:rsidP="00C9092E">
                  <w:pPr>
                    <w:jc w:val="center"/>
                    <w:rPr>
                      <w:rFonts w:ascii="Times New Roman" w:hAnsi="Times New Roman" w:cs="Times New Roman"/>
                      <w:sz w:val="28"/>
                      <w:szCs w:val="28"/>
                      <w:lang w:val="uk-UA"/>
                    </w:rPr>
                  </w:pPr>
                  <w:r>
                    <w:rPr>
                      <w:rFonts w:ascii="Times New Roman" w:hAnsi="Times New Roman" w:cs="Times New Roman"/>
                      <w:sz w:val="28"/>
                      <w:szCs w:val="28"/>
                      <w:lang w:val="uk-UA"/>
                    </w:rPr>
                    <w:t>319</w:t>
                  </w:r>
                </w:p>
              </w:tc>
            </w:tr>
          </w:tbl>
          <w:p w14:paraId="7B3977FF" w14:textId="77777777" w:rsidR="00457000" w:rsidRPr="00A93160" w:rsidRDefault="00457000" w:rsidP="00A93160">
            <w:pPr>
              <w:pStyle w:val="a6"/>
              <w:ind w:firstLine="709"/>
              <w:jc w:val="both"/>
              <w:rPr>
                <w:rFonts w:ascii="Times New Roman" w:hAnsi="Times New Roman" w:cs="Times New Roman"/>
                <w:sz w:val="28"/>
                <w:szCs w:val="28"/>
                <w:lang w:val="uk-UA"/>
              </w:rPr>
            </w:pPr>
            <w:r w:rsidRPr="00A93160">
              <w:rPr>
                <w:rFonts w:ascii="Times New Roman" w:hAnsi="Times New Roman" w:cs="Times New Roman"/>
                <w:sz w:val="28"/>
                <w:szCs w:val="28"/>
                <w:lang w:val="uk-UA"/>
              </w:rPr>
              <w:t xml:space="preserve">2. Послуги повинні бути виконані на території учасника (Виконавця) у межах Білгород-Дністровської  ОТГ  </w:t>
            </w:r>
            <w:r w:rsidRPr="00A93160">
              <w:rPr>
                <w:rFonts w:ascii="Times New Roman" w:hAnsi="Times New Roman" w:cs="Times New Roman"/>
                <w:sz w:val="28"/>
                <w:szCs w:val="28"/>
                <w:lang w:val="uk-UA"/>
              </w:rPr>
              <w:lastRenderedPageBreak/>
              <w:t xml:space="preserve">зі зручним місцем розташування медичного закладу не більше 10 км </w:t>
            </w:r>
            <w:r w:rsidRPr="00A93160">
              <w:rPr>
                <w:rFonts w:ascii="Times New Roman" w:hAnsi="Times New Roman" w:cs="Times New Roman"/>
                <w:color w:val="000000"/>
                <w:spacing w:val="-4"/>
                <w:sz w:val="28"/>
                <w:szCs w:val="28"/>
                <w:lang w:val="uk-UA"/>
              </w:rPr>
              <w:t>від адреси Замовника.</w:t>
            </w:r>
          </w:p>
          <w:p w14:paraId="66BD6207" w14:textId="77777777" w:rsidR="00457000" w:rsidRPr="00A93160" w:rsidRDefault="00457000" w:rsidP="00A93160">
            <w:pPr>
              <w:pStyle w:val="a6"/>
              <w:ind w:firstLine="709"/>
              <w:jc w:val="both"/>
              <w:rPr>
                <w:rFonts w:ascii="Times New Roman" w:hAnsi="Times New Roman" w:cs="Times New Roman"/>
                <w:sz w:val="28"/>
                <w:szCs w:val="28"/>
                <w:lang w:val="uk-UA"/>
              </w:rPr>
            </w:pPr>
            <w:r w:rsidRPr="00A93160">
              <w:rPr>
                <w:rFonts w:ascii="Times New Roman" w:hAnsi="Times New Roman" w:cs="Times New Roman"/>
                <w:sz w:val="28"/>
                <w:szCs w:val="28"/>
                <w:lang w:val="uk-UA"/>
              </w:rPr>
              <w:t>На підтвердження наявності закладу охорони здоров’я, у якому буде проведено медогляд, учасник повинен надати довідку в довільній формі про розташування такого закладу.</w:t>
            </w:r>
          </w:p>
          <w:p w14:paraId="0A669212" w14:textId="77777777" w:rsidR="00457000" w:rsidRPr="00A93160" w:rsidRDefault="00457000" w:rsidP="00A93160">
            <w:pPr>
              <w:pStyle w:val="aa"/>
              <w:spacing w:after="0" w:line="240" w:lineRule="auto"/>
              <w:jc w:val="both"/>
              <w:rPr>
                <w:color w:val="000000"/>
                <w:sz w:val="28"/>
                <w:szCs w:val="28"/>
                <w:lang w:val="uk-UA"/>
              </w:rPr>
            </w:pPr>
            <w:r w:rsidRPr="00A93160">
              <w:rPr>
                <w:color w:val="000000"/>
                <w:sz w:val="28"/>
                <w:szCs w:val="28"/>
                <w:lang w:val="uk-UA"/>
              </w:rPr>
              <w:t xml:space="preserve">            Виконавець надає послуги щодо проведення періодичних (повторних) профілактичних медичних оглядів, належної якості з дотриманням норм законодавства, які регламентують діяльність в даній сфері, підтверджує якість документами, які регламентують даний вид послуг відповідно до чинного законодавства України (Ліцензія на медичну практику).</w:t>
            </w:r>
          </w:p>
          <w:p w14:paraId="1BFE62C1" w14:textId="77777777" w:rsidR="00457000" w:rsidRPr="00A93160" w:rsidRDefault="001E68A1" w:rsidP="001E68A1">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57000" w:rsidRPr="00A93160">
              <w:rPr>
                <w:rFonts w:ascii="Times New Roman" w:hAnsi="Times New Roman" w:cs="Times New Roman"/>
                <w:sz w:val="28"/>
                <w:szCs w:val="28"/>
                <w:lang w:val="uk-UA"/>
              </w:rPr>
              <w:t>3. При наданні послуг використовувати дозволені до застосування на території України препарати (засоби), придбані за рахунок Виконавця.</w:t>
            </w:r>
          </w:p>
          <w:p w14:paraId="091F5205" w14:textId="77777777" w:rsidR="00457000" w:rsidRPr="00A93160" w:rsidRDefault="00457000" w:rsidP="00A93160">
            <w:pPr>
              <w:pStyle w:val="a6"/>
              <w:ind w:firstLine="709"/>
              <w:jc w:val="both"/>
              <w:rPr>
                <w:rFonts w:ascii="Times New Roman" w:hAnsi="Times New Roman" w:cs="Times New Roman"/>
                <w:sz w:val="28"/>
                <w:szCs w:val="28"/>
                <w:lang w:val="uk-UA"/>
              </w:rPr>
            </w:pPr>
            <w:r w:rsidRPr="00A93160">
              <w:rPr>
                <w:rFonts w:ascii="Times New Roman" w:hAnsi="Times New Roman" w:cs="Times New Roman"/>
                <w:sz w:val="28"/>
                <w:szCs w:val="28"/>
                <w:lang w:val="uk-UA"/>
              </w:rPr>
              <w:t>4. Відповідність запропонованих послуг учасника (Виконавця) до діяльності, яку визначено у Статуті або іншому установчому документі (надати копію відповідного документа).</w:t>
            </w:r>
          </w:p>
          <w:p w14:paraId="119A3D5F" w14:textId="77777777" w:rsidR="00457000" w:rsidRPr="00A93160" w:rsidRDefault="00457000" w:rsidP="00A93160">
            <w:pPr>
              <w:pStyle w:val="a6"/>
              <w:ind w:firstLine="709"/>
              <w:jc w:val="both"/>
              <w:rPr>
                <w:rFonts w:ascii="Times New Roman" w:hAnsi="Times New Roman" w:cs="Times New Roman"/>
                <w:sz w:val="28"/>
                <w:szCs w:val="28"/>
                <w:lang w:val="uk-UA"/>
              </w:rPr>
            </w:pPr>
            <w:r w:rsidRPr="00A93160">
              <w:rPr>
                <w:rFonts w:ascii="Times New Roman" w:hAnsi="Times New Roman" w:cs="Times New Roman"/>
                <w:sz w:val="28"/>
                <w:szCs w:val="28"/>
                <w:lang w:val="uk-UA"/>
              </w:rPr>
              <w:t xml:space="preserve">5. Виконавець надає послуги належної якості з дотриманням норм законодавства, які регламентують діяльність в даній сфері,  підтверджує якість документами, які регламентують даний вид послуг  відповідно до чинного законодавства України. </w:t>
            </w:r>
          </w:p>
          <w:p w14:paraId="653117C9" w14:textId="77777777" w:rsidR="00457000" w:rsidRPr="00A93160" w:rsidRDefault="00457000" w:rsidP="00A93160">
            <w:pPr>
              <w:spacing w:after="0" w:line="240" w:lineRule="auto"/>
              <w:jc w:val="both"/>
              <w:rPr>
                <w:rFonts w:ascii="Times New Roman" w:eastAsia="Arial" w:hAnsi="Times New Roman" w:cs="Times New Roman"/>
                <w:sz w:val="28"/>
                <w:szCs w:val="28"/>
                <w:lang w:val="uk-UA" w:eastAsia="uk-UA"/>
              </w:rPr>
            </w:pPr>
            <w:r w:rsidRPr="00A93160">
              <w:rPr>
                <w:rFonts w:ascii="Times New Roman" w:eastAsia="Arial" w:hAnsi="Times New Roman" w:cs="Times New Roman"/>
                <w:sz w:val="28"/>
                <w:szCs w:val="28"/>
                <w:lang w:val="uk-UA" w:eastAsia="uk-UA"/>
              </w:rPr>
              <w:t xml:space="preserve">          6. Проведення медичного огляду працівників включає в себе огляд спеціалістами, лабораторні та функціональні дослідження з оформленням таких документів:</w:t>
            </w:r>
          </w:p>
          <w:p w14:paraId="276A75A7" w14:textId="77777777" w:rsidR="00457000" w:rsidRPr="00A93160" w:rsidRDefault="00457000" w:rsidP="00A93160">
            <w:pPr>
              <w:spacing w:after="0" w:line="240" w:lineRule="auto"/>
              <w:jc w:val="both"/>
              <w:rPr>
                <w:rFonts w:ascii="Times New Roman" w:eastAsia="Arial" w:hAnsi="Times New Roman" w:cs="Times New Roman"/>
                <w:sz w:val="28"/>
                <w:szCs w:val="28"/>
                <w:lang w:val="uk-UA" w:eastAsia="uk-UA"/>
              </w:rPr>
            </w:pPr>
            <w:r w:rsidRPr="00A93160">
              <w:rPr>
                <w:rFonts w:ascii="Times New Roman" w:eastAsia="Arial" w:hAnsi="Times New Roman" w:cs="Times New Roman"/>
                <w:sz w:val="28"/>
                <w:szCs w:val="28"/>
                <w:lang w:val="uk-UA" w:eastAsia="uk-UA"/>
              </w:rPr>
              <w:t>- план–графік проведення періодичних оглядів працівників з додатком (список працівників затверджені Замовником для Виконавця) з зазначенням в них строків проведення медоглядів, лабораторних, функціональних та інших досліджень та лікарів, залучених до їх проведення;</w:t>
            </w:r>
          </w:p>
          <w:p w14:paraId="3A305645" w14:textId="77777777" w:rsidR="00457000" w:rsidRPr="00A93160" w:rsidRDefault="00457000" w:rsidP="00A93160">
            <w:pPr>
              <w:spacing w:after="0" w:line="240" w:lineRule="auto"/>
              <w:jc w:val="both"/>
              <w:rPr>
                <w:rFonts w:ascii="Times New Roman" w:eastAsia="Arial" w:hAnsi="Times New Roman" w:cs="Times New Roman"/>
                <w:sz w:val="28"/>
                <w:szCs w:val="28"/>
                <w:lang w:val="uk-UA" w:eastAsia="uk-UA"/>
              </w:rPr>
            </w:pPr>
            <w:r w:rsidRPr="00A93160">
              <w:rPr>
                <w:rFonts w:ascii="Times New Roman" w:eastAsia="Arial" w:hAnsi="Times New Roman" w:cs="Times New Roman"/>
                <w:sz w:val="28"/>
                <w:szCs w:val="28"/>
                <w:lang w:val="uk-UA" w:eastAsia="uk-UA"/>
              </w:rPr>
              <w:t>- заключний акт за результатами періодичного медичного огляду працівників.</w:t>
            </w:r>
          </w:p>
          <w:p w14:paraId="6B6A5D4C" w14:textId="77777777" w:rsidR="00457000" w:rsidRPr="00A93160" w:rsidRDefault="00457000" w:rsidP="00A93160">
            <w:pPr>
              <w:spacing w:after="0" w:line="240" w:lineRule="auto"/>
              <w:jc w:val="both"/>
              <w:rPr>
                <w:rFonts w:ascii="Times New Roman" w:eastAsia="Arial" w:hAnsi="Times New Roman" w:cs="Times New Roman"/>
                <w:sz w:val="28"/>
                <w:szCs w:val="28"/>
                <w:lang w:val="uk-UA" w:eastAsia="uk-UA"/>
              </w:rPr>
            </w:pPr>
            <w:r w:rsidRPr="00A93160">
              <w:rPr>
                <w:rFonts w:ascii="Times New Roman" w:eastAsia="Arial" w:hAnsi="Times New Roman" w:cs="Times New Roman"/>
                <w:sz w:val="28"/>
                <w:szCs w:val="28"/>
                <w:lang w:val="uk-UA" w:eastAsia="uk-UA"/>
              </w:rPr>
              <w:t>- після закінчення медогляду у разі відсутності протипоказань для зайняття відповідним видом діяльності заклад охорони здоров'я видає працівнику форму № 1-ОМК «Особиста медична книжка» (далі – форма № 1-ОМК), затверджену наказом Міністерства охорони здоров’я України від 21 лютого 2013 року № 150, яка повинна відповідати технічному опису бланка згідно Наказу Міністерства охорони здоров'я України від 08.07.2013 року № 583.</w:t>
            </w:r>
          </w:p>
          <w:p w14:paraId="6A8A0A58" w14:textId="77777777" w:rsidR="00457000" w:rsidRPr="00A93160" w:rsidRDefault="00457000" w:rsidP="00A93160">
            <w:pPr>
              <w:spacing w:after="0" w:line="240" w:lineRule="auto"/>
              <w:jc w:val="both"/>
              <w:rPr>
                <w:rFonts w:ascii="Times New Roman" w:eastAsia="Arial" w:hAnsi="Times New Roman" w:cs="Times New Roman"/>
                <w:sz w:val="28"/>
                <w:szCs w:val="28"/>
                <w:lang w:val="uk-UA" w:eastAsia="uk-UA"/>
              </w:rPr>
            </w:pPr>
            <w:r w:rsidRPr="00A93160">
              <w:rPr>
                <w:rFonts w:ascii="Times New Roman" w:eastAsia="Arial" w:hAnsi="Times New Roman" w:cs="Times New Roman"/>
                <w:sz w:val="28"/>
                <w:szCs w:val="28"/>
                <w:lang w:val="uk-UA" w:eastAsia="uk-UA"/>
              </w:rPr>
              <w:t xml:space="preserve">            7. На підставі результатів обстеження кожний лікар-спеціаліст робить висновок щодо можливості допущення працівника до роботи у конкретному виробництві, організації, професії.</w:t>
            </w:r>
          </w:p>
          <w:p w14:paraId="4CBBB4CC" w14:textId="77777777" w:rsidR="00457000" w:rsidRPr="00A93160" w:rsidRDefault="00457000" w:rsidP="00457000">
            <w:pPr>
              <w:spacing w:after="0"/>
              <w:jc w:val="both"/>
              <w:rPr>
                <w:rFonts w:ascii="Times New Roman" w:eastAsia="Arial" w:hAnsi="Times New Roman" w:cs="Times New Roman"/>
                <w:sz w:val="28"/>
                <w:szCs w:val="28"/>
                <w:lang w:val="uk-UA" w:eastAsia="uk-UA"/>
              </w:rPr>
            </w:pPr>
            <w:r w:rsidRPr="00A93160">
              <w:rPr>
                <w:rFonts w:ascii="Times New Roman" w:eastAsia="Arial" w:hAnsi="Times New Roman" w:cs="Times New Roman"/>
                <w:sz w:val="28"/>
                <w:szCs w:val="28"/>
                <w:lang w:val="uk-UA" w:eastAsia="uk-UA"/>
              </w:rPr>
              <w:t>Послуги надаються на території медичного закладу протягом 2-х робочих днів з дня скерування.</w:t>
            </w:r>
          </w:p>
          <w:p w14:paraId="5813E65A" w14:textId="77777777" w:rsidR="00457000" w:rsidRDefault="00457000" w:rsidP="00457000">
            <w:pPr>
              <w:pStyle w:val="a6"/>
              <w:ind w:firstLine="709"/>
              <w:jc w:val="both"/>
              <w:rPr>
                <w:rFonts w:ascii="Times New Roman" w:hAnsi="Times New Roman" w:cs="Times New Roman"/>
                <w:sz w:val="28"/>
                <w:szCs w:val="28"/>
                <w:lang w:val="uk-UA"/>
              </w:rPr>
            </w:pPr>
            <w:r w:rsidRPr="00A93160">
              <w:rPr>
                <w:rFonts w:ascii="Times New Roman" w:hAnsi="Times New Roman" w:cs="Times New Roman"/>
                <w:sz w:val="28"/>
                <w:szCs w:val="28"/>
                <w:lang w:val="uk-UA"/>
              </w:rPr>
              <w:lastRenderedPageBreak/>
              <w:t xml:space="preserve">8. Перелік обстежень лікарів спеціалістів, лабораторних та інших досліджень, що необхідні для проведення обов’язкових медичних оглядів працівників закладів освіти та періодичності їх проведення відповідно до пунктів 7, 8 Переліку необхідних обстежень лікарів-спеціалістів, видів клінічних, лабораторних та інших досліджень, що необхідні для проведення обов’язкових медичних оглядів та періодичність їх проведення, затвердженого наказом МОЗ України № 280 від 23.07.2002 «Щодо організації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A93160">
              <w:rPr>
                <w:rFonts w:ascii="Times New Roman" w:hAnsi="Times New Roman" w:cs="Times New Roman"/>
                <w:sz w:val="28"/>
                <w:szCs w:val="28"/>
                <w:lang w:val="uk-UA"/>
              </w:rPr>
              <w:t>хвороб</w:t>
            </w:r>
            <w:proofErr w:type="spellEnd"/>
            <w:r w:rsidRPr="00A93160">
              <w:rPr>
                <w:rFonts w:ascii="Times New Roman" w:hAnsi="Times New Roman" w:cs="Times New Roman"/>
                <w:sz w:val="28"/>
                <w:szCs w:val="28"/>
                <w:lang w:val="uk-UA"/>
              </w:rPr>
              <w:t xml:space="preserve">» (із змінами), зареєстрованого в Міністерстві юстиції України 8 серпня 2002р за № </w:t>
            </w:r>
            <w:r w:rsidRPr="0095448B">
              <w:rPr>
                <w:rFonts w:ascii="Times New Roman" w:hAnsi="Times New Roman" w:cs="Times New Roman"/>
                <w:color w:val="000000"/>
                <w:spacing w:val="-4"/>
                <w:sz w:val="28"/>
                <w:szCs w:val="28"/>
                <w:lang w:val="uk-UA"/>
              </w:rPr>
              <w:t>639/6927</w:t>
            </w:r>
            <w:r w:rsidRPr="00A93160">
              <w:rPr>
                <w:rFonts w:ascii="Times New Roman" w:hAnsi="Times New Roman" w:cs="Times New Roman"/>
                <w:sz w:val="28"/>
                <w:szCs w:val="28"/>
                <w:lang w:val="uk-UA"/>
              </w:rPr>
              <w:t>.</w:t>
            </w:r>
          </w:p>
          <w:tbl>
            <w:tblPr>
              <w:tblW w:w="6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5470"/>
              <w:gridCol w:w="708"/>
            </w:tblGrid>
            <w:tr w:rsidR="001E68A1" w:rsidRPr="00BF2933" w14:paraId="7EE76469" w14:textId="77777777" w:rsidTr="001E68A1">
              <w:trPr>
                <w:trHeight w:val="874"/>
              </w:trPr>
              <w:tc>
                <w:tcPr>
                  <w:tcW w:w="801" w:type="dxa"/>
                  <w:shd w:val="clear" w:color="auto" w:fill="auto"/>
                  <w:vAlign w:val="center"/>
                </w:tcPr>
                <w:p w14:paraId="0E78E849" w14:textId="77777777" w:rsidR="001E68A1" w:rsidRPr="00BF2933" w:rsidRDefault="001E68A1" w:rsidP="001E68A1">
                  <w:pPr>
                    <w:jc w:val="center"/>
                  </w:pPr>
                  <w:r w:rsidRPr="00BF2933">
                    <w:t>№ з/п</w:t>
                  </w:r>
                </w:p>
              </w:tc>
              <w:tc>
                <w:tcPr>
                  <w:tcW w:w="5470" w:type="dxa"/>
                  <w:shd w:val="clear" w:color="auto" w:fill="auto"/>
                  <w:vAlign w:val="center"/>
                </w:tcPr>
                <w:p w14:paraId="4F73E6F9" w14:textId="77777777" w:rsidR="001E68A1" w:rsidRPr="00BF2933" w:rsidRDefault="001E68A1" w:rsidP="001E68A1">
                  <w:pPr>
                    <w:jc w:val="center"/>
                  </w:pPr>
                  <w:proofErr w:type="spellStart"/>
                  <w:r w:rsidRPr="00BF2933">
                    <w:t>Найменування</w:t>
                  </w:r>
                  <w:proofErr w:type="spellEnd"/>
                  <w:r w:rsidRPr="00BF2933">
                    <w:t xml:space="preserve"> </w:t>
                  </w:r>
                  <w:proofErr w:type="spellStart"/>
                  <w:r w:rsidRPr="00BF2933">
                    <w:t>послуг</w:t>
                  </w:r>
                  <w:proofErr w:type="spellEnd"/>
                </w:p>
              </w:tc>
              <w:tc>
                <w:tcPr>
                  <w:tcW w:w="708" w:type="dxa"/>
                  <w:shd w:val="clear" w:color="auto" w:fill="auto"/>
                  <w:vAlign w:val="center"/>
                </w:tcPr>
                <w:p w14:paraId="2C70CFFA" w14:textId="77777777" w:rsidR="001E68A1" w:rsidRPr="00BF2933" w:rsidRDefault="001E68A1" w:rsidP="001E68A1">
                  <w:pPr>
                    <w:jc w:val="center"/>
                  </w:pPr>
                  <w:proofErr w:type="spellStart"/>
                  <w:r w:rsidRPr="00BF2933">
                    <w:t>Кількість</w:t>
                  </w:r>
                  <w:proofErr w:type="spellEnd"/>
                  <w:r w:rsidRPr="00BF2933">
                    <w:t xml:space="preserve"> </w:t>
                  </w:r>
                  <w:proofErr w:type="spellStart"/>
                  <w:r w:rsidRPr="00BF2933">
                    <w:t>осіб</w:t>
                  </w:r>
                  <w:proofErr w:type="spellEnd"/>
                </w:p>
              </w:tc>
            </w:tr>
            <w:tr w:rsidR="001E68A1" w:rsidRPr="001C7EBE" w14:paraId="253763B1" w14:textId="77777777" w:rsidTr="001E68A1">
              <w:tc>
                <w:tcPr>
                  <w:tcW w:w="801" w:type="dxa"/>
                  <w:shd w:val="clear" w:color="auto" w:fill="auto"/>
                </w:tcPr>
                <w:p w14:paraId="0E041200" w14:textId="77777777" w:rsidR="001E68A1" w:rsidRPr="00BF2933" w:rsidRDefault="001E68A1" w:rsidP="001E68A1">
                  <w:pPr>
                    <w:jc w:val="center"/>
                  </w:pPr>
                  <w:r w:rsidRPr="00BF2933">
                    <w:t>1.</w:t>
                  </w:r>
                </w:p>
              </w:tc>
              <w:tc>
                <w:tcPr>
                  <w:tcW w:w="5470" w:type="dxa"/>
                  <w:shd w:val="clear" w:color="auto" w:fill="auto"/>
                </w:tcPr>
                <w:p w14:paraId="4D33353C" w14:textId="77777777" w:rsidR="001E68A1" w:rsidRPr="009B145F" w:rsidRDefault="009B145F" w:rsidP="001E68A1">
                  <w:pPr>
                    <w:pStyle w:val="a6"/>
                    <w:jc w:val="both"/>
                    <w:rPr>
                      <w:rFonts w:ascii="Times New Roman" w:hAnsi="Times New Roman" w:cs="Times New Roman"/>
                      <w:sz w:val="28"/>
                      <w:szCs w:val="28"/>
                      <w:lang w:val="uk-UA"/>
                    </w:rPr>
                  </w:pPr>
                  <w:r w:rsidRPr="009B145F">
                    <w:rPr>
                      <w:rFonts w:ascii="Times New Roman" w:hAnsi="Times New Roman" w:cs="Times New Roman"/>
                      <w:sz w:val="28"/>
                      <w:szCs w:val="28"/>
                      <w:lang w:val="uk-UA"/>
                    </w:rPr>
                    <w:t>Попередній, періодичні медичні огляди працівників певних категорій без рахування ФГ ( Наказ МОЗ №246)</w:t>
                  </w:r>
                </w:p>
              </w:tc>
              <w:tc>
                <w:tcPr>
                  <w:tcW w:w="708" w:type="dxa"/>
                  <w:shd w:val="clear" w:color="auto" w:fill="auto"/>
                  <w:vAlign w:val="center"/>
                </w:tcPr>
                <w:p w14:paraId="408E1138" w14:textId="77777777" w:rsidR="001E68A1" w:rsidRPr="009B145F" w:rsidRDefault="009B145F" w:rsidP="001E68A1">
                  <w:pPr>
                    <w:jc w:val="center"/>
                    <w:rPr>
                      <w:lang w:val="uk-UA"/>
                    </w:rPr>
                  </w:pPr>
                  <w:r>
                    <w:rPr>
                      <w:lang w:val="uk-UA"/>
                    </w:rPr>
                    <w:t>319</w:t>
                  </w:r>
                </w:p>
              </w:tc>
            </w:tr>
            <w:tr w:rsidR="001E68A1" w:rsidRPr="001C7EBE" w14:paraId="1D3E982C" w14:textId="77777777" w:rsidTr="001E68A1">
              <w:tc>
                <w:tcPr>
                  <w:tcW w:w="801" w:type="dxa"/>
                  <w:shd w:val="clear" w:color="auto" w:fill="auto"/>
                </w:tcPr>
                <w:p w14:paraId="58F848AD" w14:textId="77777777" w:rsidR="001E68A1" w:rsidRPr="00BF2933" w:rsidRDefault="001E68A1" w:rsidP="001E68A1">
                  <w:pPr>
                    <w:jc w:val="center"/>
                  </w:pPr>
                  <w:r w:rsidRPr="00BF2933">
                    <w:t>2.</w:t>
                  </w:r>
                </w:p>
              </w:tc>
              <w:tc>
                <w:tcPr>
                  <w:tcW w:w="5470" w:type="dxa"/>
                  <w:shd w:val="clear" w:color="auto" w:fill="auto"/>
                </w:tcPr>
                <w:p w14:paraId="48090AB6" w14:textId="77777777" w:rsidR="001E68A1" w:rsidRPr="009B145F" w:rsidRDefault="009B145F" w:rsidP="001E68A1">
                  <w:pPr>
                    <w:rPr>
                      <w:rFonts w:ascii="Times New Roman" w:hAnsi="Times New Roman" w:cs="Times New Roman"/>
                      <w:sz w:val="28"/>
                      <w:szCs w:val="28"/>
                    </w:rPr>
                  </w:pPr>
                  <w:proofErr w:type="spellStart"/>
                  <w:r w:rsidRPr="009B145F">
                    <w:rPr>
                      <w:rFonts w:ascii="Times New Roman" w:hAnsi="Times New Roman" w:cs="Times New Roman"/>
                      <w:sz w:val="28"/>
                      <w:szCs w:val="28"/>
                    </w:rPr>
                    <w:t>Профілактичне</w:t>
                  </w:r>
                  <w:proofErr w:type="spellEnd"/>
                  <w:r w:rsidRPr="009B145F">
                    <w:rPr>
                      <w:rFonts w:ascii="Times New Roman" w:hAnsi="Times New Roman" w:cs="Times New Roman"/>
                      <w:sz w:val="28"/>
                      <w:szCs w:val="28"/>
                    </w:rPr>
                    <w:t xml:space="preserve"> </w:t>
                  </w:r>
                  <w:proofErr w:type="spellStart"/>
                  <w:r w:rsidRPr="009B145F">
                    <w:rPr>
                      <w:rFonts w:ascii="Times New Roman" w:hAnsi="Times New Roman" w:cs="Times New Roman"/>
                      <w:sz w:val="28"/>
                      <w:szCs w:val="28"/>
                    </w:rPr>
                    <w:t>дослідження</w:t>
                  </w:r>
                  <w:proofErr w:type="spellEnd"/>
                  <w:r w:rsidRPr="009B145F">
                    <w:rPr>
                      <w:rFonts w:ascii="Times New Roman" w:hAnsi="Times New Roman" w:cs="Times New Roman"/>
                      <w:sz w:val="28"/>
                      <w:szCs w:val="28"/>
                    </w:rPr>
                    <w:t xml:space="preserve"> на </w:t>
                  </w:r>
                  <w:proofErr w:type="spellStart"/>
                  <w:r w:rsidRPr="009B145F">
                    <w:rPr>
                      <w:rFonts w:ascii="Times New Roman" w:hAnsi="Times New Roman" w:cs="Times New Roman"/>
                      <w:sz w:val="28"/>
                      <w:szCs w:val="28"/>
                    </w:rPr>
                    <w:t>носійство</w:t>
                  </w:r>
                  <w:proofErr w:type="spellEnd"/>
                  <w:r w:rsidRPr="009B145F">
                    <w:rPr>
                      <w:rFonts w:ascii="Times New Roman" w:hAnsi="Times New Roman" w:cs="Times New Roman"/>
                      <w:sz w:val="28"/>
                      <w:szCs w:val="28"/>
                    </w:rPr>
                    <w:t xml:space="preserve"> </w:t>
                  </w:r>
                  <w:proofErr w:type="spellStart"/>
                  <w:r w:rsidRPr="009B145F">
                    <w:rPr>
                      <w:rFonts w:ascii="Times New Roman" w:hAnsi="Times New Roman" w:cs="Times New Roman"/>
                      <w:sz w:val="28"/>
                      <w:szCs w:val="28"/>
                    </w:rPr>
                    <w:t>збудників</w:t>
                  </w:r>
                  <w:proofErr w:type="spellEnd"/>
                  <w:r w:rsidRPr="009B145F">
                    <w:rPr>
                      <w:rFonts w:ascii="Times New Roman" w:hAnsi="Times New Roman" w:cs="Times New Roman"/>
                      <w:sz w:val="28"/>
                      <w:szCs w:val="28"/>
                    </w:rPr>
                    <w:t xml:space="preserve"> </w:t>
                  </w:r>
                  <w:proofErr w:type="spellStart"/>
                  <w:r w:rsidRPr="009B145F">
                    <w:rPr>
                      <w:rFonts w:ascii="Times New Roman" w:hAnsi="Times New Roman" w:cs="Times New Roman"/>
                      <w:sz w:val="28"/>
                      <w:szCs w:val="28"/>
                    </w:rPr>
                    <w:t>кишкових</w:t>
                  </w:r>
                  <w:proofErr w:type="spellEnd"/>
                  <w:r w:rsidRPr="009B145F">
                    <w:rPr>
                      <w:rFonts w:ascii="Times New Roman" w:hAnsi="Times New Roman" w:cs="Times New Roman"/>
                      <w:sz w:val="28"/>
                      <w:szCs w:val="28"/>
                    </w:rPr>
                    <w:t xml:space="preserve"> </w:t>
                  </w:r>
                  <w:proofErr w:type="spellStart"/>
                  <w:r w:rsidRPr="009B145F">
                    <w:rPr>
                      <w:rFonts w:ascii="Times New Roman" w:hAnsi="Times New Roman" w:cs="Times New Roman"/>
                      <w:sz w:val="28"/>
                      <w:szCs w:val="28"/>
                    </w:rPr>
                    <w:t>інфекцій</w:t>
                  </w:r>
                  <w:proofErr w:type="spellEnd"/>
                </w:p>
              </w:tc>
              <w:tc>
                <w:tcPr>
                  <w:tcW w:w="708" w:type="dxa"/>
                  <w:shd w:val="clear" w:color="auto" w:fill="auto"/>
                  <w:vAlign w:val="center"/>
                </w:tcPr>
                <w:p w14:paraId="1DECB73E" w14:textId="77777777" w:rsidR="001E68A1" w:rsidRPr="001C7EBE" w:rsidRDefault="009B145F" w:rsidP="001E68A1">
                  <w:pPr>
                    <w:jc w:val="center"/>
                  </w:pPr>
                  <w:r>
                    <w:t>319</w:t>
                  </w:r>
                </w:p>
              </w:tc>
            </w:tr>
          </w:tbl>
          <w:p w14:paraId="056090E0" w14:textId="77777777" w:rsidR="001E68A1" w:rsidRPr="00A93160" w:rsidRDefault="001E68A1" w:rsidP="00457000">
            <w:pPr>
              <w:pStyle w:val="a6"/>
              <w:ind w:firstLine="709"/>
              <w:jc w:val="both"/>
              <w:rPr>
                <w:rFonts w:ascii="Times New Roman" w:hAnsi="Times New Roman" w:cs="Times New Roman"/>
                <w:sz w:val="28"/>
                <w:szCs w:val="28"/>
                <w:lang w:val="uk-UA"/>
              </w:rPr>
            </w:pPr>
          </w:p>
          <w:p w14:paraId="64A2A063" w14:textId="77777777" w:rsidR="00457000" w:rsidRPr="00A93160" w:rsidRDefault="00457000" w:rsidP="001E68A1">
            <w:pPr>
              <w:pStyle w:val="a6"/>
              <w:rPr>
                <w:rFonts w:ascii="Times New Roman" w:hAnsi="Times New Roman" w:cs="Times New Roman"/>
                <w:sz w:val="28"/>
                <w:szCs w:val="28"/>
              </w:rPr>
            </w:pPr>
            <w:r w:rsidRPr="00A93160">
              <w:rPr>
                <w:rFonts w:ascii="Times New Roman" w:hAnsi="Times New Roman" w:cs="Times New Roman"/>
                <w:sz w:val="28"/>
                <w:szCs w:val="28"/>
              </w:rPr>
              <w:t xml:space="preserve"> 9. </w:t>
            </w:r>
            <w:proofErr w:type="spellStart"/>
            <w:r w:rsidRPr="00A93160">
              <w:rPr>
                <w:rFonts w:ascii="Times New Roman" w:hAnsi="Times New Roman" w:cs="Times New Roman"/>
                <w:sz w:val="28"/>
                <w:szCs w:val="28"/>
              </w:rPr>
              <w:t>Період</w:t>
            </w:r>
            <w:proofErr w:type="spellEnd"/>
            <w:r w:rsidRPr="00A93160">
              <w:rPr>
                <w:rFonts w:ascii="Times New Roman" w:hAnsi="Times New Roman" w:cs="Times New Roman"/>
                <w:sz w:val="28"/>
                <w:szCs w:val="28"/>
              </w:rPr>
              <w:t xml:space="preserve"> </w:t>
            </w:r>
            <w:proofErr w:type="spellStart"/>
            <w:r w:rsidRPr="00A93160">
              <w:rPr>
                <w:rFonts w:ascii="Times New Roman" w:hAnsi="Times New Roman" w:cs="Times New Roman"/>
                <w:sz w:val="28"/>
                <w:szCs w:val="28"/>
              </w:rPr>
              <w:t>надання</w:t>
            </w:r>
            <w:proofErr w:type="spellEnd"/>
            <w:r w:rsidRPr="00A93160">
              <w:rPr>
                <w:rFonts w:ascii="Times New Roman" w:hAnsi="Times New Roman" w:cs="Times New Roman"/>
                <w:sz w:val="28"/>
                <w:szCs w:val="28"/>
              </w:rPr>
              <w:t xml:space="preserve"> </w:t>
            </w:r>
            <w:proofErr w:type="spellStart"/>
            <w:r w:rsidRPr="00A93160">
              <w:rPr>
                <w:rFonts w:ascii="Times New Roman" w:hAnsi="Times New Roman" w:cs="Times New Roman"/>
                <w:sz w:val="28"/>
                <w:szCs w:val="28"/>
              </w:rPr>
              <w:t>послуг</w:t>
            </w:r>
            <w:proofErr w:type="spellEnd"/>
            <w:r w:rsidRPr="00A93160">
              <w:rPr>
                <w:rFonts w:ascii="Times New Roman" w:hAnsi="Times New Roman" w:cs="Times New Roman"/>
                <w:sz w:val="28"/>
                <w:szCs w:val="28"/>
              </w:rPr>
              <w:t xml:space="preserve">: до </w:t>
            </w:r>
            <w:r w:rsidR="009B145F">
              <w:rPr>
                <w:rFonts w:ascii="Times New Roman" w:hAnsi="Times New Roman" w:cs="Times New Roman"/>
                <w:sz w:val="28"/>
                <w:szCs w:val="28"/>
                <w:lang w:val="uk-UA"/>
              </w:rPr>
              <w:t>30.09.</w:t>
            </w:r>
            <w:r w:rsidRPr="00A93160">
              <w:rPr>
                <w:rFonts w:ascii="Times New Roman" w:hAnsi="Times New Roman" w:cs="Times New Roman"/>
                <w:sz w:val="28"/>
                <w:szCs w:val="28"/>
              </w:rPr>
              <w:t xml:space="preserve"> </w:t>
            </w:r>
            <w:r w:rsidR="009B145F">
              <w:rPr>
                <w:rFonts w:ascii="Times New Roman" w:hAnsi="Times New Roman" w:cs="Times New Roman"/>
                <w:sz w:val="28"/>
                <w:szCs w:val="28"/>
              </w:rPr>
              <w:t>2024</w:t>
            </w:r>
            <w:r w:rsidRPr="00A93160">
              <w:rPr>
                <w:rFonts w:ascii="Times New Roman" w:hAnsi="Times New Roman" w:cs="Times New Roman"/>
                <w:sz w:val="28"/>
                <w:szCs w:val="28"/>
              </w:rPr>
              <w:t xml:space="preserve"> року.</w:t>
            </w:r>
          </w:p>
          <w:p w14:paraId="4DEFECF3" w14:textId="77777777" w:rsidR="001F1F37" w:rsidRPr="00A93160" w:rsidRDefault="001F1F37" w:rsidP="00FD59FC">
            <w:pPr>
              <w:spacing w:after="0" w:line="240" w:lineRule="auto"/>
              <w:ind w:firstLine="34"/>
              <w:jc w:val="both"/>
              <w:rPr>
                <w:rFonts w:ascii="Times New Roman" w:eastAsia="Times New Roman" w:hAnsi="Times New Roman" w:cs="Times New Roman"/>
                <w:color w:val="000000"/>
                <w:sz w:val="28"/>
                <w:szCs w:val="28"/>
                <w:lang w:val="uk-UA"/>
              </w:rPr>
            </w:pPr>
          </w:p>
        </w:tc>
      </w:tr>
      <w:tr w:rsidR="001F1F37" w:rsidRPr="00A93160" w14:paraId="338E99E5" w14:textId="77777777" w:rsidTr="00A93160">
        <w:trPr>
          <w:trHeight w:val="1713"/>
        </w:trPr>
        <w:tc>
          <w:tcPr>
            <w:tcW w:w="283" w:type="dxa"/>
            <w:shd w:val="clear" w:color="auto" w:fill="auto"/>
            <w:vAlign w:val="center"/>
          </w:tcPr>
          <w:p w14:paraId="353AB316" w14:textId="77777777" w:rsidR="001F1F37" w:rsidRPr="00A93160"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A93160">
              <w:rPr>
                <w:rFonts w:ascii="Times New Roman" w:eastAsia="Times New Roman" w:hAnsi="Times New Roman" w:cs="Times New Roman"/>
                <w:bCs/>
                <w:spacing w:val="-10"/>
                <w:sz w:val="28"/>
                <w:szCs w:val="28"/>
                <w:lang w:val="uk-UA"/>
              </w:rPr>
              <w:lastRenderedPageBreak/>
              <w:t>3</w:t>
            </w:r>
          </w:p>
        </w:tc>
        <w:tc>
          <w:tcPr>
            <w:tcW w:w="2269" w:type="dxa"/>
            <w:shd w:val="clear" w:color="auto" w:fill="auto"/>
            <w:vAlign w:val="center"/>
          </w:tcPr>
          <w:p w14:paraId="27F51980" w14:textId="77777777" w:rsidR="001F1F37" w:rsidRPr="00A93160" w:rsidRDefault="001F1F37" w:rsidP="001F1F37">
            <w:pPr>
              <w:spacing w:after="0" w:line="240" w:lineRule="auto"/>
              <w:rPr>
                <w:rFonts w:ascii="Times New Roman" w:eastAsia="Times New Roman" w:hAnsi="Times New Roman" w:cs="Times New Roman"/>
                <w:bCs/>
                <w:spacing w:val="-10"/>
                <w:sz w:val="28"/>
                <w:szCs w:val="28"/>
                <w:lang w:val="uk-UA"/>
              </w:rPr>
            </w:pPr>
            <w:r w:rsidRPr="00A93160">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654" w:type="dxa"/>
            <w:shd w:val="clear" w:color="auto" w:fill="auto"/>
            <w:vAlign w:val="center"/>
          </w:tcPr>
          <w:p w14:paraId="00E01A6C" w14:textId="77777777" w:rsidR="00A93160" w:rsidRPr="00A93160" w:rsidRDefault="00A93160" w:rsidP="00D257E6">
            <w:pPr>
              <w:spacing w:after="0" w:line="240" w:lineRule="auto"/>
              <w:jc w:val="both"/>
              <w:rPr>
                <w:rFonts w:ascii="Times New Roman" w:hAnsi="Times New Roman" w:cs="Times New Roman"/>
                <w:spacing w:val="-10"/>
                <w:sz w:val="28"/>
                <w:szCs w:val="28"/>
                <w:lang w:val="uk-UA"/>
              </w:rPr>
            </w:pPr>
            <w:r w:rsidRPr="00A93160">
              <w:rPr>
                <w:rFonts w:ascii="Times New Roman" w:hAnsi="Times New Roman" w:cs="Times New Roman"/>
                <w:spacing w:val="-10"/>
                <w:sz w:val="28"/>
                <w:szCs w:val="28"/>
                <w:lang w:val="uk-UA"/>
              </w:rPr>
              <w:t>Очікувана вартість формувалась з середніх цін комерційних пропозицій відкрит</w:t>
            </w:r>
            <w:r w:rsidR="006532D8">
              <w:rPr>
                <w:rFonts w:ascii="Times New Roman" w:hAnsi="Times New Roman" w:cs="Times New Roman"/>
                <w:spacing w:val="-10"/>
                <w:sz w:val="28"/>
                <w:szCs w:val="28"/>
                <w:lang w:val="uk-UA"/>
              </w:rPr>
              <w:t>их джерел та становить 202000</w:t>
            </w:r>
            <w:r w:rsidR="001E68A1">
              <w:rPr>
                <w:rFonts w:ascii="Times New Roman" w:hAnsi="Times New Roman" w:cs="Times New Roman"/>
                <w:spacing w:val="-10"/>
                <w:sz w:val="28"/>
                <w:szCs w:val="28"/>
                <w:lang w:val="uk-UA"/>
              </w:rPr>
              <w:t>.00</w:t>
            </w:r>
            <w:r w:rsidRPr="00A93160">
              <w:rPr>
                <w:rFonts w:ascii="Times New Roman" w:hAnsi="Times New Roman" w:cs="Times New Roman"/>
                <w:spacing w:val="-10"/>
                <w:sz w:val="28"/>
                <w:szCs w:val="28"/>
                <w:lang w:val="uk-UA"/>
              </w:rPr>
              <w:t xml:space="preserve"> грн. з ПДВ</w:t>
            </w:r>
            <w:r>
              <w:rPr>
                <w:rFonts w:ascii="Times New Roman" w:hAnsi="Times New Roman" w:cs="Times New Roman"/>
                <w:spacing w:val="-10"/>
                <w:sz w:val="28"/>
                <w:szCs w:val="28"/>
                <w:lang w:val="uk-UA"/>
              </w:rPr>
              <w:t>.</w:t>
            </w:r>
          </w:p>
          <w:p w14:paraId="30624953" w14:textId="77777777" w:rsidR="00A93160" w:rsidRPr="00A93160" w:rsidRDefault="00A93160" w:rsidP="00D257E6">
            <w:pPr>
              <w:spacing w:after="0" w:line="240" w:lineRule="auto"/>
              <w:jc w:val="both"/>
              <w:rPr>
                <w:rFonts w:ascii="Times New Roman" w:hAnsi="Times New Roman" w:cs="Times New Roman"/>
                <w:spacing w:val="-10"/>
                <w:sz w:val="28"/>
                <w:szCs w:val="28"/>
                <w:lang w:val="uk-UA"/>
              </w:rPr>
            </w:pPr>
          </w:p>
          <w:p w14:paraId="45A3AF73" w14:textId="77777777" w:rsidR="001F1F37" w:rsidRPr="00A93160" w:rsidRDefault="00A93160" w:rsidP="009B145F">
            <w:pPr>
              <w:spacing w:after="0" w:line="240" w:lineRule="auto"/>
              <w:jc w:val="both"/>
              <w:rPr>
                <w:rFonts w:ascii="Times New Roman" w:eastAsia="Times New Roman" w:hAnsi="Times New Roman" w:cs="Times New Roman"/>
                <w:spacing w:val="-10"/>
                <w:sz w:val="28"/>
                <w:szCs w:val="28"/>
                <w:lang w:val="uk-UA"/>
              </w:rPr>
            </w:pPr>
            <w:r w:rsidRPr="00A93160">
              <w:rPr>
                <w:rFonts w:ascii="Times New Roman" w:hAnsi="Times New Roman" w:cs="Times New Roman"/>
                <w:spacing w:val="-10"/>
                <w:sz w:val="28"/>
                <w:szCs w:val="28"/>
                <w:lang w:val="uk-UA"/>
              </w:rPr>
              <w:t>Плановий</w:t>
            </w:r>
            <w:r w:rsidR="009B145F">
              <w:rPr>
                <w:rFonts w:ascii="Times New Roman" w:hAnsi="Times New Roman" w:cs="Times New Roman"/>
                <w:spacing w:val="-10"/>
                <w:sz w:val="28"/>
                <w:szCs w:val="28"/>
                <w:lang w:val="uk-UA"/>
              </w:rPr>
              <w:t xml:space="preserve"> розмір бюджетного призначення 210000,00 тис. грн. з ПДВ </w:t>
            </w:r>
          </w:p>
        </w:tc>
      </w:tr>
    </w:tbl>
    <w:p w14:paraId="00B2B086"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A93160">
      <w:pgSz w:w="11906" w:h="16838"/>
      <w:pgMar w:top="851"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FE662F"/>
    <w:multiLevelType w:val="hybridMultilevel"/>
    <w:tmpl w:val="6C5464AE"/>
    <w:lvl w:ilvl="0" w:tplc="B8A881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75335">
    <w:abstractNumId w:val="2"/>
  </w:num>
  <w:num w:numId="2" w16cid:durableId="51512420">
    <w:abstractNumId w:val="0"/>
  </w:num>
  <w:num w:numId="3" w16cid:durableId="1806964661">
    <w:abstractNumId w:val="3"/>
  </w:num>
  <w:num w:numId="4" w16cid:durableId="19361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E5E25"/>
    <w:rsid w:val="00000F8E"/>
    <w:rsid w:val="000077BD"/>
    <w:rsid w:val="00035696"/>
    <w:rsid w:val="000404DD"/>
    <w:rsid w:val="00050C62"/>
    <w:rsid w:val="00050E7F"/>
    <w:rsid w:val="0006193F"/>
    <w:rsid w:val="00065ABA"/>
    <w:rsid w:val="00085B2E"/>
    <w:rsid w:val="00093CE3"/>
    <w:rsid w:val="000C200B"/>
    <w:rsid w:val="00117C45"/>
    <w:rsid w:val="0012511A"/>
    <w:rsid w:val="001416D4"/>
    <w:rsid w:val="00157EF1"/>
    <w:rsid w:val="00182AAD"/>
    <w:rsid w:val="001A2909"/>
    <w:rsid w:val="001B5FE1"/>
    <w:rsid w:val="001C4E61"/>
    <w:rsid w:val="001D725C"/>
    <w:rsid w:val="001E1CF5"/>
    <w:rsid w:val="001E68A1"/>
    <w:rsid w:val="001E7483"/>
    <w:rsid w:val="001E75E9"/>
    <w:rsid w:val="001F1F37"/>
    <w:rsid w:val="00201F88"/>
    <w:rsid w:val="002258EC"/>
    <w:rsid w:val="00226CE1"/>
    <w:rsid w:val="00282254"/>
    <w:rsid w:val="00285632"/>
    <w:rsid w:val="002E5E25"/>
    <w:rsid w:val="002F1259"/>
    <w:rsid w:val="002F459A"/>
    <w:rsid w:val="002F5111"/>
    <w:rsid w:val="0030447B"/>
    <w:rsid w:val="00315A7C"/>
    <w:rsid w:val="003229F3"/>
    <w:rsid w:val="003529AD"/>
    <w:rsid w:val="003802AC"/>
    <w:rsid w:val="003949F3"/>
    <w:rsid w:val="003B38AF"/>
    <w:rsid w:val="003B6E29"/>
    <w:rsid w:val="003D35A5"/>
    <w:rsid w:val="00404615"/>
    <w:rsid w:val="0043694F"/>
    <w:rsid w:val="00441EB3"/>
    <w:rsid w:val="0044425E"/>
    <w:rsid w:val="00455A0F"/>
    <w:rsid w:val="00457000"/>
    <w:rsid w:val="00457972"/>
    <w:rsid w:val="00492008"/>
    <w:rsid w:val="00496A6B"/>
    <w:rsid w:val="00550D5D"/>
    <w:rsid w:val="0056620C"/>
    <w:rsid w:val="00586E1C"/>
    <w:rsid w:val="005D3012"/>
    <w:rsid w:val="005F32C9"/>
    <w:rsid w:val="00620D44"/>
    <w:rsid w:val="00636F01"/>
    <w:rsid w:val="006532D8"/>
    <w:rsid w:val="00672E7E"/>
    <w:rsid w:val="006B0278"/>
    <w:rsid w:val="006D26E4"/>
    <w:rsid w:val="0073364F"/>
    <w:rsid w:val="00737029"/>
    <w:rsid w:val="007A5D45"/>
    <w:rsid w:val="007B354E"/>
    <w:rsid w:val="007E4C26"/>
    <w:rsid w:val="007E50B0"/>
    <w:rsid w:val="007F098B"/>
    <w:rsid w:val="007F7735"/>
    <w:rsid w:val="00802885"/>
    <w:rsid w:val="00803BFF"/>
    <w:rsid w:val="00850E1B"/>
    <w:rsid w:val="00876B85"/>
    <w:rsid w:val="00883EC5"/>
    <w:rsid w:val="00952BF1"/>
    <w:rsid w:val="0095448B"/>
    <w:rsid w:val="0097261D"/>
    <w:rsid w:val="009B145F"/>
    <w:rsid w:val="009E0525"/>
    <w:rsid w:val="009E55E4"/>
    <w:rsid w:val="009F4D2D"/>
    <w:rsid w:val="00A25833"/>
    <w:rsid w:val="00A37450"/>
    <w:rsid w:val="00A42200"/>
    <w:rsid w:val="00A539E1"/>
    <w:rsid w:val="00A66FFC"/>
    <w:rsid w:val="00A8635A"/>
    <w:rsid w:val="00A93160"/>
    <w:rsid w:val="00AC1C4D"/>
    <w:rsid w:val="00AC320C"/>
    <w:rsid w:val="00AC34AA"/>
    <w:rsid w:val="00B05B47"/>
    <w:rsid w:val="00B36478"/>
    <w:rsid w:val="00B810BC"/>
    <w:rsid w:val="00B8565C"/>
    <w:rsid w:val="00BA2507"/>
    <w:rsid w:val="00BB7D0A"/>
    <w:rsid w:val="00BC2935"/>
    <w:rsid w:val="00BC5931"/>
    <w:rsid w:val="00C85319"/>
    <w:rsid w:val="00CB70E0"/>
    <w:rsid w:val="00CC0AE4"/>
    <w:rsid w:val="00CD09B2"/>
    <w:rsid w:val="00CD6C5D"/>
    <w:rsid w:val="00CF4236"/>
    <w:rsid w:val="00CF4DF6"/>
    <w:rsid w:val="00D257E6"/>
    <w:rsid w:val="00D67CE0"/>
    <w:rsid w:val="00D87D26"/>
    <w:rsid w:val="00DA2625"/>
    <w:rsid w:val="00DA36E2"/>
    <w:rsid w:val="00DA52CA"/>
    <w:rsid w:val="00DD2BF0"/>
    <w:rsid w:val="00DF23A6"/>
    <w:rsid w:val="00E26896"/>
    <w:rsid w:val="00E33B94"/>
    <w:rsid w:val="00E51EBE"/>
    <w:rsid w:val="00E76550"/>
    <w:rsid w:val="00ED3C29"/>
    <w:rsid w:val="00EE2B67"/>
    <w:rsid w:val="00F15680"/>
    <w:rsid w:val="00FA2370"/>
    <w:rsid w:val="00FD59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CC20"/>
  <w15:docId w15:val="{493DAEDF-3BEF-44C9-B0CD-4A28E79F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aliases w:val="Знак Знак1,Стандартный HTML Знак Знак1,Стандартный HTML Знак1 Знак,Стандартный HTML Знак Знак Знак,Знак Знак1 Знак,Стандартный HTML Знак Знак1 Знак,Стандартный HTML Знак Знак2,Стандартный HTML Знак Знак,Стандартный HTML Знак1"/>
    <w:basedOn w:val="a"/>
    <w:link w:val="HTML0"/>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aliases w:val="Знак Знак1 Знак1,Стандартный HTML Знак Знак1 Знак1,Стандартный HTML Знак1 Знак Знак,Стандартный HTML Знак Знак Знак Знак,Знак Знак1 Знак Знак,Стандартный HTML Знак Знак1 Знак Знак,Стандартный HTML Знак Знак2 Знак"/>
    <w:basedOn w:val="a0"/>
    <w:link w:val="HTML"/>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uiPriority w:val="1"/>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D257E6"/>
    <w:pPr>
      <w:spacing w:after="0" w:line="240" w:lineRule="auto"/>
    </w:pPr>
    <w:rPr>
      <w:rFonts w:ascii="Verdana" w:eastAsia="Times New Roman" w:hAnsi="Verdana" w:cs="Verdana"/>
      <w:sz w:val="20"/>
      <w:szCs w:val="20"/>
      <w:lang w:val="en-US" w:eastAsia="en-US"/>
    </w:rPr>
  </w:style>
  <w:style w:type="paragraph" w:styleId="ad">
    <w:name w:val="List Paragraph"/>
    <w:aliases w:val="Список уровня 2,1 Буллет,Number Bullets,название табл/рис,Bullet Number,Bullet 1,Use Case List Paragraph,lp1,List Paragraph1,lp11,List Paragraph11,Elenco Normale,Numbered List"/>
    <w:basedOn w:val="a"/>
    <w:link w:val="ae"/>
    <w:uiPriority w:val="34"/>
    <w:qFormat/>
    <w:rsid w:val="00D257E6"/>
    <w:pPr>
      <w:spacing w:after="0" w:line="240" w:lineRule="auto"/>
      <w:ind w:left="708"/>
    </w:pPr>
    <w:rPr>
      <w:rFonts w:ascii="Times New Roman" w:eastAsia="Times New Roman" w:hAnsi="Times New Roman" w:cs="Times New Roman"/>
      <w:sz w:val="24"/>
      <w:szCs w:val="24"/>
      <w:lang w:val="uk-UA"/>
    </w:rPr>
  </w:style>
  <w:style w:type="character" w:customStyle="1" w:styleId="ae">
    <w:name w:val="Абзац списка Знак"/>
    <w:aliases w:val="Список уровня 2 Знак,1 Буллет Знак,Number Bullets Знак,название табл/рис Знак,Bullet Number Знак,Bullet 1 Знак,Use Case List Paragraph Знак,lp1 Знак,List Paragraph1 Знак,lp11 Знак,List Paragraph11 Знак,Elenco Normale Знак"/>
    <w:link w:val="ad"/>
    <w:uiPriority w:val="34"/>
    <w:rsid w:val="00D257E6"/>
    <w:rPr>
      <w:rFonts w:ascii="Times New Roman" w:eastAsia="Times New Roman" w:hAnsi="Times New Roman" w:cs="Times New Roman"/>
      <w:sz w:val="24"/>
      <w:szCs w:val="24"/>
      <w:lang w:val="uk-UA"/>
    </w:rPr>
  </w:style>
  <w:style w:type="character" w:customStyle="1" w:styleId="NoSpacingChar1">
    <w:name w:val="No Spacing Char1"/>
    <w:link w:val="11"/>
    <w:locked/>
    <w:rsid w:val="00457000"/>
    <w:rPr>
      <w:rFonts w:ascii="Calibri" w:hAnsi="Calibri" w:cs="Calibri"/>
      <w:lang w:val="uk-UA"/>
    </w:rPr>
  </w:style>
  <w:style w:type="paragraph" w:customStyle="1" w:styleId="11">
    <w:name w:val="Без интервала1"/>
    <w:link w:val="NoSpacingChar1"/>
    <w:qFormat/>
    <w:rsid w:val="00457000"/>
    <w:pPr>
      <w:spacing w:after="0" w:line="240" w:lineRule="auto"/>
    </w:pPr>
    <w:rPr>
      <w:rFonts w:ascii="Calibri" w:hAnsi="Calibri" w:cs="Calibri"/>
      <w:lang w:val="uk-UA"/>
    </w:rPr>
  </w:style>
  <w:style w:type="character" w:customStyle="1" w:styleId="a7">
    <w:name w:val="Без интервала Знак"/>
    <w:link w:val="a6"/>
    <w:uiPriority w:val="1"/>
    <w:rsid w:val="001E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09770221">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277102323">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16</cp:revision>
  <cp:lastPrinted>2024-07-23T05:58:00Z</cp:lastPrinted>
  <dcterms:created xsi:type="dcterms:W3CDTF">2023-04-21T07:27:00Z</dcterms:created>
  <dcterms:modified xsi:type="dcterms:W3CDTF">2024-07-24T11:21:00Z</dcterms:modified>
</cp:coreProperties>
</file>