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ECA" w:rsidRDefault="00194ECA" w:rsidP="00000F8E">
      <w:pPr>
        <w:pStyle w:val="a6"/>
        <w:jc w:val="center"/>
        <w:rPr>
          <w:rFonts w:ascii="Times New Roman" w:hAnsi="Times New Roman" w:cs="Times New Roman"/>
          <w:sz w:val="28"/>
          <w:szCs w:val="28"/>
          <w:lang w:val="uk-UA"/>
        </w:rPr>
      </w:pPr>
    </w:p>
    <w:p w:rsidR="00194ECA" w:rsidRDefault="00194ECA" w:rsidP="00194ECA">
      <w:pPr>
        <w:pStyle w:val="a6"/>
        <w:jc w:val="center"/>
        <w:rPr>
          <w:rFonts w:ascii="Times New Roman" w:hAnsi="Times New Roman" w:cs="Times New Roman"/>
          <w:sz w:val="28"/>
          <w:szCs w:val="28"/>
          <w:lang w:val="uk-UA"/>
        </w:rPr>
      </w:pPr>
      <w:r>
        <w:object w:dxaOrig="1602" w:dyaOrig="1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75pt" o:ole="" fillcolor="window">
            <v:imagedata r:id="rId5" o:title=""/>
          </v:shape>
          <o:OLEObject Type="Embed" ProgID="MS_ClipArt_Gallery.2" ShapeID="_x0000_i1025" DrawAspect="Content" ObjectID="_1777119831" r:id="rId6"/>
        </w:object>
      </w:r>
    </w:p>
    <w:p w:rsidR="00194ECA" w:rsidRPr="00643BE8" w:rsidRDefault="00194ECA" w:rsidP="00194ECA">
      <w:pPr>
        <w:spacing w:after="0" w:line="240" w:lineRule="auto"/>
        <w:jc w:val="center"/>
        <w:rPr>
          <w:rFonts w:ascii="Times New Roman" w:hAnsi="Times New Roman"/>
          <w:b/>
          <w:smallCaps/>
          <w:sz w:val="28"/>
          <w:szCs w:val="28"/>
        </w:rPr>
      </w:pPr>
      <w:r w:rsidRPr="00643BE8">
        <w:rPr>
          <w:rFonts w:ascii="Times New Roman" w:hAnsi="Times New Roman"/>
          <w:b/>
          <w:bCs/>
          <w:smallCaps/>
          <w:sz w:val="28"/>
          <w:szCs w:val="28"/>
        </w:rPr>
        <w:t>БІЛГОРОД-</w:t>
      </w:r>
      <w:proofErr w:type="gramStart"/>
      <w:r w:rsidRPr="00643BE8">
        <w:rPr>
          <w:rFonts w:ascii="Times New Roman" w:hAnsi="Times New Roman"/>
          <w:b/>
          <w:bCs/>
          <w:smallCaps/>
          <w:sz w:val="28"/>
          <w:szCs w:val="28"/>
        </w:rPr>
        <w:t>ДНІСТРОВСЬКА  МІСЬКА</w:t>
      </w:r>
      <w:proofErr w:type="gramEnd"/>
      <w:r w:rsidRPr="00643BE8">
        <w:rPr>
          <w:rFonts w:ascii="Times New Roman" w:hAnsi="Times New Roman"/>
          <w:b/>
          <w:bCs/>
          <w:smallCaps/>
          <w:sz w:val="28"/>
          <w:szCs w:val="28"/>
        </w:rPr>
        <w:t xml:space="preserve">  РАДА</w:t>
      </w:r>
    </w:p>
    <w:p w:rsidR="00194ECA" w:rsidRDefault="00194ECA" w:rsidP="00194ECA">
      <w:pPr>
        <w:spacing w:after="0" w:line="240" w:lineRule="auto"/>
        <w:jc w:val="center"/>
        <w:rPr>
          <w:rFonts w:ascii="Times New Roman" w:hAnsi="Times New Roman"/>
          <w:b/>
          <w:sz w:val="28"/>
          <w:szCs w:val="28"/>
        </w:rPr>
      </w:pPr>
      <w:proofErr w:type="gramStart"/>
      <w:r w:rsidRPr="00643BE8">
        <w:rPr>
          <w:rFonts w:ascii="Times New Roman" w:hAnsi="Times New Roman"/>
          <w:b/>
          <w:sz w:val="28"/>
          <w:szCs w:val="28"/>
        </w:rPr>
        <w:t>УПРАВЛІННЯ  ОСВІТИ</w:t>
      </w:r>
      <w:proofErr w:type="gramEnd"/>
    </w:p>
    <w:p w:rsidR="00194ECA" w:rsidRPr="00643BE8" w:rsidRDefault="00194ECA" w:rsidP="00194ECA">
      <w:pPr>
        <w:spacing w:after="0" w:line="240" w:lineRule="auto"/>
        <w:jc w:val="center"/>
        <w:rPr>
          <w:rFonts w:ascii="Times New Roman" w:hAnsi="Times New Roman"/>
          <w:b/>
          <w:bCs/>
          <w:smallCaps/>
        </w:rPr>
      </w:pPr>
    </w:p>
    <w:p w:rsidR="00194ECA" w:rsidRPr="00B035F3" w:rsidRDefault="00194ECA" w:rsidP="00194ECA">
      <w:pPr>
        <w:spacing w:after="0" w:line="240" w:lineRule="auto"/>
        <w:jc w:val="center"/>
        <w:rPr>
          <w:rFonts w:ascii="Times New Roman" w:hAnsi="Times New Roman"/>
          <w:lang w:val="uk-UA"/>
        </w:rPr>
      </w:pPr>
      <w:r w:rsidRPr="00B035F3">
        <w:rPr>
          <w:rFonts w:ascii="Times New Roman" w:hAnsi="Times New Roman"/>
          <w:lang w:val="uk-UA"/>
        </w:rPr>
        <w:t xml:space="preserve">вулиця Михайлівська, будинок 29, місто Білгород-Дністровський, </w:t>
      </w:r>
    </w:p>
    <w:p w:rsidR="00194ECA" w:rsidRPr="00B035F3" w:rsidRDefault="00194ECA" w:rsidP="00194ECA">
      <w:pPr>
        <w:spacing w:after="0" w:line="240" w:lineRule="auto"/>
        <w:jc w:val="center"/>
        <w:rPr>
          <w:rFonts w:ascii="Times New Roman" w:hAnsi="Times New Roman"/>
          <w:lang w:val="uk-UA"/>
        </w:rPr>
      </w:pPr>
      <w:r w:rsidRPr="00B035F3">
        <w:rPr>
          <w:rFonts w:ascii="Times New Roman" w:hAnsi="Times New Roman"/>
          <w:lang w:val="uk-UA"/>
        </w:rPr>
        <w:t>Білгород-Дністровський район, Одеська область, індекс – 67701</w:t>
      </w:r>
    </w:p>
    <w:p w:rsidR="00194ECA" w:rsidRPr="00B035F3" w:rsidRDefault="00194ECA" w:rsidP="00194ECA">
      <w:pPr>
        <w:spacing w:after="0" w:line="240" w:lineRule="auto"/>
        <w:jc w:val="center"/>
        <w:rPr>
          <w:rFonts w:ascii="Times New Roman" w:hAnsi="Times New Roman"/>
          <w:bCs/>
          <w:lang w:val="uk-UA"/>
        </w:rPr>
      </w:pPr>
      <w:r w:rsidRPr="00B035F3">
        <w:rPr>
          <w:rFonts w:ascii="Times New Roman" w:hAnsi="Times New Roman"/>
          <w:lang w:val="uk-UA"/>
        </w:rPr>
        <w:t>код ЄДРПОУ – 20989154, т</w:t>
      </w:r>
      <w:r w:rsidRPr="00B035F3">
        <w:rPr>
          <w:rFonts w:ascii="Times New Roman" w:hAnsi="Times New Roman"/>
          <w:bCs/>
        </w:rPr>
        <w:t xml:space="preserve">ел./факс: (04849) 2-22-05, </w:t>
      </w:r>
      <w:r w:rsidRPr="00B035F3">
        <w:rPr>
          <w:rFonts w:ascii="Times New Roman" w:hAnsi="Times New Roman"/>
          <w:bCs/>
          <w:lang w:val="uk-UA"/>
        </w:rPr>
        <w:t>6-00-44</w:t>
      </w:r>
    </w:p>
    <w:p w:rsidR="00194ECA" w:rsidRPr="009E1E8C" w:rsidRDefault="00194ECA" w:rsidP="00194ECA">
      <w:pPr>
        <w:spacing w:after="0" w:line="240" w:lineRule="auto"/>
        <w:jc w:val="center"/>
        <w:rPr>
          <w:rFonts w:ascii="Times New Roman" w:hAnsi="Times New Roman"/>
          <w:bCs/>
        </w:rPr>
      </w:pPr>
      <w:r w:rsidRPr="00B035F3">
        <w:rPr>
          <w:rFonts w:ascii="Times New Roman" w:hAnsi="Times New Roman"/>
          <w:bCs/>
        </w:rPr>
        <w:t>Е</w:t>
      </w:r>
      <w:r w:rsidRPr="009E1E8C">
        <w:rPr>
          <w:rFonts w:ascii="Times New Roman" w:hAnsi="Times New Roman"/>
          <w:bCs/>
        </w:rPr>
        <w:t>-</w:t>
      </w:r>
      <w:r w:rsidRPr="00B035F3">
        <w:rPr>
          <w:rFonts w:ascii="Times New Roman" w:hAnsi="Times New Roman"/>
          <w:bCs/>
          <w:lang w:val="en-US"/>
        </w:rPr>
        <w:t>mail</w:t>
      </w:r>
      <w:r w:rsidRPr="009E1E8C">
        <w:rPr>
          <w:rFonts w:ascii="Times New Roman" w:hAnsi="Times New Roman"/>
          <w:bCs/>
        </w:rPr>
        <w:t xml:space="preserve">: </w:t>
      </w:r>
      <w:r w:rsidR="00B65171">
        <w:rPr>
          <w:rFonts w:ascii="Times New Roman" w:hAnsi="Times New Roman"/>
          <w:bCs/>
          <w:lang w:val="uk-UA"/>
        </w:rPr>
        <w:t>osvita@bdmr.gov.ua</w:t>
      </w:r>
    </w:p>
    <w:p w:rsidR="00194ECA" w:rsidRDefault="00194ECA" w:rsidP="00194ECA">
      <w:pPr>
        <w:pStyle w:val="a6"/>
        <w:jc w:val="center"/>
        <w:rPr>
          <w:rFonts w:ascii="Times New Roman" w:hAnsi="Times New Roman" w:cs="Times New Roman"/>
          <w:sz w:val="28"/>
          <w:szCs w:val="28"/>
          <w:lang w:val="uk-UA"/>
        </w:rPr>
      </w:pPr>
      <w:r w:rsidRPr="009E1E8C">
        <w:rPr>
          <w:sz w:val="28"/>
          <w:szCs w:val="28"/>
        </w:rPr>
        <w:t xml:space="preserve"> </w:t>
      </w:r>
      <w:r>
        <w:rPr>
          <w:sz w:val="28"/>
          <w:szCs w:val="28"/>
          <w:lang w:val="uk-UA"/>
        </w:rPr>
        <w:t>_________________________________________________________________</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808"/>
        <w:gridCol w:w="1701"/>
        <w:gridCol w:w="492"/>
        <w:gridCol w:w="1831"/>
      </w:tblGrid>
      <w:tr w:rsidR="00194ECA" w:rsidTr="0052743E">
        <w:trPr>
          <w:trHeight w:val="29"/>
        </w:trPr>
        <w:tc>
          <w:tcPr>
            <w:tcW w:w="808" w:type="dxa"/>
            <w:shd w:val="clear" w:color="auto" w:fill="auto"/>
          </w:tcPr>
          <w:p w:rsidR="00194ECA" w:rsidRPr="0061252B" w:rsidRDefault="00194ECA" w:rsidP="0052743E">
            <w:pPr>
              <w:pStyle w:val="TableContents"/>
              <w:snapToGrid w:val="0"/>
              <w:rPr>
                <w:rFonts w:cs="Times New Roman"/>
                <w:sz w:val="28"/>
                <w:szCs w:val="28"/>
                <w:lang w:val="en-US"/>
              </w:rPr>
            </w:pPr>
          </w:p>
        </w:tc>
        <w:tc>
          <w:tcPr>
            <w:tcW w:w="1701" w:type="dxa"/>
            <w:tcBorders>
              <w:bottom w:val="single" w:sz="2" w:space="0" w:color="000000"/>
            </w:tcBorders>
            <w:shd w:val="clear" w:color="auto" w:fill="auto"/>
          </w:tcPr>
          <w:p w:rsidR="00194ECA" w:rsidRPr="003D049C" w:rsidRDefault="00194ECA" w:rsidP="0052743E">
            <w:pPr>
              <w:pStyle w:val="TableContents"/>
              <w:snapToGrid w:val="0"/>
              <w:rPr>
                <w:rFonts w:cs="Times New Roman"/>
                <w:sz w:val="28"/>
                <w:szCs w:val="28"/>
                <w:lang w:val="uk-UA"/>
              </w:rPr>
            </w:pPr>
          </w:p>
        </w:tc>
        <w:tc>
          <w:tcPr>
            <w:tcW w:w="492" w:type="dxa"/>
            <w:shd w:val="clear" w:color="auto" w:fill="auto"/>
          </w:tcPr>
          <w:p w:rsidR="00194ECA" w:rsidRDefault="00194ECA" w:rsidP="0052743E">
            <w:pPr>
              <w:pStyle w:val="TableContents"/>
              <w:snapToGrid w:val="0"/>
              <w:rPr>
                <w:rFonts w:eastAsia="Times New Roman" w:cs="Times New Roman"/>
                <w:sz w:val="28"/>
                <w:szCs w:val="28"/>
              </w:rPr>
            </w:pPr>
            <w:r>
              <w:rPr>
                <w:rFonts w:eastAsia="Times New Roman" w:cs="Times New Roman"/>
                <w:sz w:val="28"/>
                <w:szCs w:val="28"/>
              </w:rPr>
              <w:t>№</w:t>
            </w:r>
          </w:p>
        </w:tc>
        <w:tc>
          <w:tcPr>
            <w:tcW w:w="1831" w:type="dxa"/>
            <w:tcBorders>
              <w:bottom w:val="single" w:sz="2" w:space="0" w:color="000000"/>
            </w:tcBorders>
            <w:shd w:val="clear" w:color="auto" w:fill="auto"/>
          </w:tcPr>
          <w:p w:rsidR="00194ECA" w:rsidRPr="0060034B" w:rsidRDefault="00194ECA" w:rsidP="00FC67FF">
            <w:pPr>
              <w:pStyle w:val="TableContents"/>
              <w:snapToGrid w:val="0"/>
              <w:rPr>
                <w:rFonts w:cs="Times New Roman"/>
                <w:sz w:val="28"/>
                <w:szCs w:val="28"/>
                <w:lang w:val="uk-UA"/>
              </w:rPr>
            </w:pPr>
            <w:r>
              <w:rPr>
                <w:rFonts w:cs="Times New Roman"/>
                <w:sz w:val="28"/>
                <w:szCs w:val="28"/>
                <w:lang w:val="uk-UA"/>
              </w:rPr>
              <w:t xml:space="preserve">        </w:t>
            </w:r>
          </w:p>
        </w:tc>
      </w:tr>
      <w:tr w:rsidR="00194ECA" w:rsidTr="0052743E">
        <w:trPr>
          <w:trHeight w:val="29"/>
        </w:trPr>
        <w:tc>
          <w:tcPr>
            <w:tcW w:w="808" w:type="dxa"/>
            <w:shd w:val="clear" w:color="auto" w:fill="auto"/>
          </w:tcPr>
          <w:p w:rsidR="00194ECA" w:rsidRDefault="00194ECA" w:rsidP="0052743E">
            <w:pPr>
              <w:pStyle w:val="TableContents"/>
              <w:snapToGrid w:val="0"/>
              <w:rPr>
                <w:rFonts w:eastAsia="Times New Roman" w:cs="Times New Roman"/>
                <w:sz w:val="28"/>
                <w:szCs w:val="28"/>
              </w:rPr>
            </w:pPr>
            <w:r>
              <w:rPr>
                <w:rFonts w:cs="Times New Roman"/>
                <w:sz w:val="28"/>
                <w:szCs w:val="28"/>
              </w:rPr>
              <w:t>На</w:t>
            </w:r>
            <w:r>
              <w:rPr>
                <w:rFonts w:eastAsia="Times New Roman" w:cs="Times New Roman"/>
                <w:sz w:val="28"/>
                <w:szCs w:val="28"/>
              </w:rPr>
              <w:t xml:space="preserve"> №</w:t>
            </w:r>
          </w:p>
        </w:tc>
        <w:tc>
          <w:tcPr>
            <w:tcW w:w="1701" w:type="dxa"/>
            <w:tcBorders>
              <w:bottom w:val="single" w:sz="2" w:space="0" w:color="000000"/>
            </w:tcBorders>
            <w:shd w:val="clear" w:color="auto" w:fill="auto"/>
          </w:tcPr>
          <w:p w:rsidR="00194ECA" w:rsidRDefault="00194ECA" w:rsidP="0052743E">
            <w:pPr>
              <w:pStyle w:val="TableContents"/>
              <w:snapToGrid w:val="0"/>
              <w:rPr>
                <w:rFonts w:cs="Times New Roman"/>
                <w:sz w:val="28"/>
                <w:szCs w:val="28"/>
              </w:rPr>
            </w:pPr>
          </w:p>
        </w:tc>
        <w:tc>
          <w:tcPr>
            <w:tcW w:w="492" w:type="dxa"/>
            <w:shd w:val="clear" w:color="auto" w:fill="auto"/>
          </w:tcPr>
          <w:p w:rsidR="00194ECA" w:rsidRDefault="00194ECA" w:rsidP="0052743E">
            <w:pPr>
              <w:pStyle w:val="TableContents"/>
              <w:snapToGrid w:val="0"/>
              <w:rPr>
                <w:rFonts w:cs="Times New Roman"/>
                <w:sz w:val="28"/>
                <w:szCs w:val="28"/>
              </w:rPr>
            </w:pPr>
            <w:proofErr w:type="spellStart"/>
            <w:r>
              <w:rPr>
                <w:rFonts w:cs="Times New Roman"/>
                <w:sz w:val="28"/>
                <w:szCs w:val="28"/>
              </w:rPr>
              <w:t>від</w:t>
            </w:r>
            <w:proofErr w:type="spellEnd"/>
          </w:p>
        </w:tc>
        <w:tc>
          <w:tcPr>
            <w:tcW w:w="1831" w:type="dxa"/>
            <w:tcBorders>
              <w:bottom w:val="single" w:sz="2" w:space="0" w:color="000000"/>
            </w:tcBorders>
            <w:shd w:val="clear" w:color="auto" w:fill="auto"/>
          </w:tcPr>
          <w:p w:rsidR="00194ECA" w:rsidRDefault="00194ECA" w:rsidP="0052743E">
            <w:pPr>
              <w:pStyle w:val="TableContents"/>
              <w:snapToGrid w:val="0"/>
              <w:rPr>
                <w:rFonts w:cs="Times New Roman"/>
                <w:sz w:val="28"/>
                <w:szCs w:val="28"/>
              </w:rPr>
            </w:pPr>
          </w:p>
        </w:tc>
      </w:tr>
      <w:tr w:rsidR="00194ECA" w:rsidTr="0052743E">
        <w:trPr>
          <w:trHeight w:val="29"/>
        </w:trPr>
        <w:tc>
          <w:tcPr>
            <w:tcW w:w="808" w:type="dxa"/>
            <w:shd w:val="clear" w:color="auto" w:fill="auto"/>
          </w:tcPr>
          <w:p w:rsidR="00194ECA" w:rsidRDefault="00194ECA" w:rsidP="0052743E">
            <w:pPr>
              <w:pStyle w:val="TableContents"/>
              <w:snapToGrid w:val="0"/>
            </w:pPr>
          </w:p>
        </w:tc>
        <w:tc>
          <w:tcPr>
            <w:tcW w:w="1701" w:type="dxa"/>
            <w:shd w:val="clear" w:color="auto" w:fill="auto"/>
          </w:tcPr>
          <w:p w:rsidR="00194ECA" w:rsidRDefault="00194ECA" w:rsidP="0052743E">
            <w:pPr>
              <w:pStyle w:val="TableContents"/>
              <w:snapToGrid w:val="0"/>
              <w:rPr>
                <w:rFonts w:cs="Times New Roman"/>
                <w:sz w:val="28"/>
                <w:szCs w:val="28"/>
              </w:rPr>
            </w:pPr>
          </w:p>
        </w:tc>
        <w:tc>
          <w:tcPr>
            <w:tcW w:w="492" w:type="dxa"/>
            <w:shd w:val="clear" w:color="auto" w:fill="auto"/>
          </w:tcPr>
          <w:p w:rsidR="00194ECA" w:rsidRDefault="00194ECA" w:rsidP="0052743E">
            <w:pPr>
              <w:pStyle w:val="TableContents"/>
              <w:snapToGrid w:val="0"/>
              <w:rPr>
                <w:rFonts w:cs="Times New Roman"/>
                <w:sz w:val="28"/>
                <w:szCs w:val="28"/>
              </w:rPr>
            </w:pPr>
          </w:p>
        </w:tc>
        <w:tc>
          <w:tcPr>
            <w:tcW w:w="1831" w:type="dxa"/>
            <w:shd w:val="clear" w:color="auto" w:fill="auto"/>
          </w:tcPr>
          <w:p w:rsidR="00194ECA" w:rsidRDefault="00194ECA" w:rsidP="0052743E">
            <w:pPr>
              <w:pStyle w:val="TableContents"/>
              <w:snapToGrid w:val="0"/>
              <w:rPr>
                <w:rFonts w:cs="Times New Roman"/>
                <w:sz w:val="28"/>
                <w:szCs w:val="28"/>
              </w:rPr>
            </w:pPr>
          </w:p>
        </w:tc>
      </w:tr>
    </w:tbl>
    <w:p w:rsidR="00000F8E" w:rsidRPr="00C5114A" w:rsidRDefault="00000F8E" w:rsidP="00000F8E">
      <w:pPr>
        <w:pStyle w:val="a6"/>
        <w:jc w:val="center"/>
        <w:rPr>
          <w:rFonts w:ascii="Times New Roman" w:hAnsi="Times New Roman" w:cs="Times New Roman"/>
          <w:sz w:val="28"/>
          <w:szCs w:val="28"/>
          <w:lang w:val="uk-UA"/>
        </w:rPr>
      </w:pPr>
    </w:p>
    <w:p w:rsidR="001D50DA" w:rsidRPr="00721ECC" w:rsidRDefault="00C85319" w:rsidP="00721ECC">
      <w:pPr>
        <w:pStyle w:val="1"/>
        <w:shd w:val="clear" w:color="auto" w:fill="FFFFFF"/>
        <w:spacing w:before="0" w:line="240" w:lineRule="auto"/>
        <w:jc w:val="both"/>
        <w:textAlignment w:val="baseline"/>
        <w:rPr>
          <w:rFonts w:ascii="Times New Roman" w:hAnsi="Times New Roman" w:cs="Times New Roman"/>
          <w:color w:val="auto"/>
          <w:sz w:val="28"/>
          <w:szCs w:val="28"/>
          <w:lang w:val="uk-UA"/>
        </w:rPr>
      </w:pPr>
      <w:r w:rsidRPr="0061252B">
        <w:rPr>
          <w:rFonts w:ascii="Times New Roman" w:hAnsi="Times New Roman" w:cs="Times New Roman"/>
          <w:color w:val="000000" w:themeColor="text1"/>
          <w:sz w:val="28"/>
          <w:szCs w:val="28"/>
          <w:shd w:val="clear" w:color="auto" w:fill="FFFFFF"/>
          <w:lang w:val="uk-UA"/>
        </w:rPr>
        <w:t xml:space="preserve">Відкриті торги </w:t>
      </w:r>
      <w:r w:rsidR="00C23EFF" w:rsidRPr="0061252B">
        <w:rPr>
          <w:rFonts w:ascii="Times New Roman" w:hAnsi="Times New Roman" w:cs="Times New Roman"/>
          <w:color w:val="000000" w:themeColor="text1"/>
          <w:sz w:val="28"/>
          <w:szCs w:val="28"/>
          <w:shd w:val="clear" w:color="auto" w:fill="FFFFFF"/>
          <w:lang w:val="uk-UA"/>
        </w:rPr>
        <w:t xml:space="preserve">з </w:t>
      </w:r>
      <w:r w:rsidR="00C23EFF" w:rsidRPr="00721ECC">
        <w:rPr>
          <w:rFonts w:ascii="Times New Roman" w:hAnsi="Times New Roman" w:cs="Times New Roman"/>
          <w:color w:val="auto"/>
          <w:sz w:val="28"/>
          <w:szCs w:val="28"/>
          <w:shd w:val="clear" w:color="auto" w:fill="FFFFFF"/>
          <w:lang w:val="uk-UA"/>
        </w:rPr>
        <w:t>Особливостями</w:t>
      </w:r>
      <w:r w:rsidR="002E5E25" w:rsidRPr="00721ECC">
        <w:rPr>
          <w:rFonts w:ascii="Times New Roman" w:hAnsi="Times New Roman" w:cs="Times New Roman"/>
          <w:color w:val="auto"/>
          <w:sz w:val="28"/>
          <w:szCs w:val="28"/>
          <w:shd w:val="clear" w:color="auto" w:fill="FFFFFF"/>
          <w:lang w:val="uk-UA"/>
        </w:rPr>
        <w:t xml:space="preserve"> </w:t>
      </w:r>
      <w:r w:rsidRPr="00721ECC">
        <w:rPr>
          <w:rFonts w:ascii="Times New Roman" w:hAnsi="Times New Roman" w:cs="Times New Roman"/>
          <w:color w:val="auto"/>
          <w:sz w:val="28"/>
          <w:szCs w:val="28"/>
          <w:shd w:val="clear" w:color="auto" w:fill="FFFFFF"/>
          <w:lang w:val="uk-UA"/>
        </w:rPr>
        <w:t>на закупівлю</w:t>
      </w:r>
      <w:r w:rsidR="00FD7746" w:rsidRPr="00721ECC">
        <w:rPr>
          <w:rFonts w:ascii="Times New Roman" w:eastAsia="Times New Roman" w:hAnsi="Times New Roman" w:cs="Times New Roman"/>
          <w:b/>
          <w:color w:val="auto"/>
          <w:sz w:val="28"/>
          <w:szCs w:val="28"/>
          <w:lang w:val="uk-UA"/>
        </w:rPr>
        <w:t xml:space="preserve"> </w:t>
      </w:r>
      <w:r w:rsidR="00C5114A" w:rsidRPr="00721ECC">
        <w:rPr>
          <w:rFonts w:ascii="Times New Roman" w:hAnsi="Times New Roman" w:cs="Times New Roman"/>
          <w:b/>
          <w:color w:val="auto"/>
          <w:sz w:val="28"/>
          <w:szCs w:val="28"/>
          <w:lang w:val="uk-UA"/>
        </w:rPr>
        <w:t>«</w:t>
      </w:r>
      <w:r w:rsidR="00721ECC" w:rsidRPr="00721ECC">
        <w:rPr>
          <w:rFonts w:ascii="Times New Roman" w:hAnsi="Times New Roman" w:cs="Times New Roman"/>
          <w:color w:val="auto"/>
          <w:sz w:val="28"/>
          <w:szCs w:val="28"/>
          <w:lang w:val="uk-UA"/>
        </w:rPr>
        <w:t xml:space="preserve">Засоби навчання для навчальних кабінетів ЗЗСО, що здійснюють освітній процес за державним стандартом базової середньої освіти на першому (адаптаційному) циклі і базової середньої освіти </w:t>
      </w:r>
      <w:r w:rsidR="00C5114A" w:rsidRPr="00721ECC">
        <w:rPr>
          <w:rFonts w:ascii="Times New Roman" w:hAnsi="Times New Roman" w:cs="Times New Roman"/>
          <w:b/>
          <w:color w:val="auto"/>
          <w:sz w:val="28"/>
          <w:szCs w:val="28"/>
          <w:lang w:val="uk-UA"/>
        </w:rPr>
        <w:t>»</w:t>
      </w:r>
      <w:r w:rsidR="00BC752A" w:rsidRPr="00721ECC">
        <w:rPr>
          <w:rFonts w:ascii="Times New Roman" w:hAnsi="Times New Roman" w:cs="Times New Roman"/>
          <w:b/>
          <w:color w:val="auto"/>
          <w:sz w:val="28"/>
          <w:szCs w:val="28"/>
          <w:lang w:val="uk-UA"/>
        </w:rPr>
        <w:t xml:space="preserve"> </w:t>
      </w:r>
      <w:r w:rsidR="00C5114A" w:rsidRPr="00721ECC">
        <w:rPr>
          <w:rFonts w:ascii="Times New Roman" w:hAnsi="Times New Roman" w:cs="Times New Roman"/>
          <w:color w:val="auto"/>
          <w:sz w:val="28"/>
          <w:szCs w:val="28"/>
          <w:lang w:val="uk-UA"/>
        </w:rPr>
        <w:t xml:space="preserve">код </w:t>
      </w:r>
      <w:r w:rsidR="00721ECC" w:rsidRPr="00721ECC">
        <w:rPr>
          <w:rFonts w:ascii="Times New Roman" w:hAnsi="Times New Roman" w:cs="Times New Roman"/>
          <w:color w:val="auto"/>
          <w:sz w:val="28"/>
          <w:szCs w:val="28"/>
          <w:lang w:val="uk-UA"/>
        </w:rPr>
        <w:t>80520000-5 — Навчальні засоби</w:t>
      </w:r>
      <w:r w:rsidR="00721ECC">
        <w:rPr>
          <w:rFonts w:ascii="Times New Roman" w:hAnsi="Times New Roman" w:cs="Times New Roman"/>
          <w:color w:val="auto"/>
          <w:sz w:val="28"/>
          <w:szCs w:val="28"/>
          <w:lang w:val="uk-UA"/>
        </w:rPr>
        <w:t xml:space="preserve"> </w:t>
      </w:r>
      <w:r w:rsidR="00990487" w:rsidRPr="00721ECC">
        <w:rPr>
          <w:rFonts w:ascii="Times New Roman" w:eastAsia="Times New Roman" w:hAnsi="Times New Roman" w:cs="Times New Roman"/>
          <w:color w:val="auto"/>
          <w:sz w:val="28"/>
          <w:szCs w:val="28"/>
          <w:lang w:val="uk-UA"/>
        </w:rPr>
        <w:t>за ДК 021:2015 Єдиного закупівельн</w:t>
      </w:r>
      <w:r w:rsidR="00846E04" w:rsidRPr="00721ECC">
        <w:rPr>
          <w:rFonts w:ascii="Times New Roman" w:eastAsia="Times New Roman" w:hAnsi="Times New Roman" w:cs="Times New Roman"/>
          <w:color w:val="auto"/>
          <w:sz w:val="28"/>
          <w:szCs w:val="28"/>
          <w:lang w:val="uk-UA"/>
        </w:rPr>
        <w:t>ого словника.</w:t>
      </w:r>
    </w:p>
    <w:p w:rsidR="009F4D2D" w:rsidRPr="00846E04" w:rsidRDefault="00C23EFF" w:rsidP="00721ECC">
      <w:pPr>
        <w:jc w:val="both"/>
        <w:rPr>
          <w:rFonts w:ascii="Times New Roman" w:eastAsia="Times New Roman" w:hAnsi="Times New Roman" w:cs="Times New Roman"/>
          <w:sz w:val="28"/>
          <w:szCs w:val="28"/>
          <w:lang w:val="uk-UA" w:eastAsia="en-US"/>
        </w:rPr>
      </w:pPr>
      <w:proofErr w:type="spellStart"/>
      <w:r w:rsidRPr="00721ECC">
        <w:rPr>
          <w:rFonts w:ascii="Times New Roman" w:eastAsia="Calibri" w:hAnsi="Times New Roman" w:cs="Times New Roman"/>
          <w:color w:val="000000" w:themeColor="text1"/>
          <w:sz w:val="28"/>
          <w:szCs w:val="28"/>
          <w:lang w:val="uk-UA" w:eastAsia="ar-SA"/>
        </w:rPr>
        <w:t>Індентифікатор</w:t>
      </w:r>
      <w:proofErr w:type="spellEnd"/>
      <w:r w:rsidRPr="00721ECC">
        <w:rPr>
          <w:rFonts w:ascii="Times New Roman" w:eastAsia="Calibri" w:hAnsi="Times New Roman" w:cs="Times New Roman"/>
          <w:color w:val="000000" w:themeColor="text1"/>
          <w:sz w:val="28"/>
          <w:szCs w:val="28"/>
          <w:lang w:val="uk-UA" w:eastAsia="ar-SA"/>
        </w:rPr>
        <w:t xml:space="preserve"> закупівлі </w:t>
      </w:r>
      <w:r w:rsidRPr="00721ECC">
        <w:rPr>
          <w:rFonts w:ascii="Times New Roman" w:eastAsia="Calibri" w:hAnsi="Times New Roman" w:cs="Times New Roman"/>
          <w:sz w:val="28"/>
          <w:szCs w:val="28"/>
          <w:lang w:val="uk-UA" w:eastAsia="ar-SA"/>
        </w:rPr>
        <w:t>https://prozorro.gov.ua/tender</w:t>
      </w:r>
      <w:r w:rsidRPr="00846E04">
        <w:rPr>
          <w:rFonts w:ascii="Times New Roman" w:eastAsia="Calibri" w:hAnsi="Times New Roman" w:cs="Times New Roman"/>
          <w:sz w:val="28"/>
          <w:szCs w:val="28"/>
          <w:lang w:val="uk-UA" w:eastAsia="ar-SA"/>
        </w:rPr>
        <w:t>/</w:t>
      </w:r>
      <w:r w:rsidR="00D737EB" w:rsidRPr="00846E04">
        <w:rPr>
          <w:rFonts w:ascii="Times New Roman" w:hAnsi="Times New Roman" w:cs="Times New Roman"/>
          <w:b/>
          <w:sz w:val="28"/>
          <w:szCs w:val="28"/>
          <w:shd w:val="clear" w:color="auto" w:fill="FFFFFF"/>
          <w:lang w:val="uk-UA"/>
        </w:rPr>
        <w:t>ID: </w:t>
      </w:r>
      <w:r w:rsidR="00295DDC" w:rsidRPr="00295DDC">
        <w:rPr>
          <w:rStyle w:val="tendertuid2nhc4"/>
          <w:rFonts w:ascii="Times New Roman" w:hAnsi="Times New Roman" w:cs="Times New Roman"/>
          <w:b/>
          <w:sz w:val="28"/>
          <w:szCs w:val="28"/>
          <w:bdr w:val="none" w:sz="0" w:space="0" w:color="auto" w:frame="1"/>
          <w:shd w:val="clear" w:color="auto" w:fill="FFFFFF"/>
          <w:lang w:val="uk-UA"/>
        </w:rPr>
        <w:t>UA-2024-05-07-009432-a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2F41E8" w:rsidRPr="00846E04">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721ECC">
        <w:rPr>
          <w:rFonts w:ascii="Times New Roman" w:hAnsi="Times New Roman" w:cs="Times New Roman"/>
          <w:b/>
          <w:spacing w:val="-10"/>
          <w:sz w:val="28"/>
          <w:szCs w:val="28"/>
        </w:rPr>
        <w:t>3</w:t>
      </w:r>
      <w:r w:rsidR="00295DDC">
        <w:rPr>
          <w:rFonts w:ascii="Times New Roman" w:hAnsi="Times New Roman" w:cs="Times New Roman"/>
          <w:b/>
          <w:spacing w:val="-10"/>
          <w:sz w:val="28"/>
          <w:szCs w:val="28"/>
          <w:lang w:val="uk-UA"/>
        </w:rPr>
        <w:t>07330</w:t>
      </w:r>
      <w:r w:rsidRPr="00846E04">
        <w:rPr>
          <w:rFonts w:ascii="Times New Roman" w:hAnsi="Times New Roman" w:cs="Times New Roman"/>
          <w:b/>
          <w:spacing w:val="-10"/>
          <w:sz w:val="28"/>
          <w:szCs w:val="28"/>
          <w:lang w:val="uk-UA"/>
        </w:rPr>
        <w:t>,00 грн.</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rsidTr="00846E04">
        <w:trPr>
          <w:trHeight w:val="1372"/>
        </w:trPr>
        <w:tc>
          <w:tcPr>
            <w:tcW w:w="9952" w:type="dxa"/>
            <w:gridSpan w:val="3"/>
            <w:shd w:val="clear" w:color="auto" w:fill="auto"/>
            <w:vAlign w:val="center"/>
          </w:tcPr>
          <w:p w:rsidR="001F1F37" w:rsidRPr="00FC67FF" w:rsidRDefault="00530048" w:rsidP="00FC67FF">
            <w:pPr>
              <w:spacing w:after="0" w:line="240" w:lineRule="auto"/>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rsidTr="00846E04">
        <w:trPr>
          <w:trHeight w:val="847"/>
        </w:trPr>
        <w:tc>
          <w:tcPr>
            <w:tcW w:w="454" w:type="dxa"/>
            <w:shd w:val="clear" w:color="auto" w:fill="auto"/>
            <w:vAlign w:val="center"/>
          </w:tcPr>
          <w:p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rsidR="00721ECC" w:rsidRPr="00721ECC" w:rsidRDefault="00721ECC" w:rsidP="00721ECC">
            <w:pPr>
              <w:pStyle w:val="1"/>
              <w:shd w:val="clear" w:color="auto" w:fill="FFFFFF"/>
              <w:spacing w:before="0" w:line="240" w:lineRule="auto"/>
              <w:jc w:val="both"/>
              <w:textAlignment w:val="baseline"/>
              <w:rPr>
                <w:rFonts w:ascii="Times New Roman" w:hAnsi="Times New Roman" w:cs="Times New Roman"/>
                <w:color w:val="auto"/>
                <w:sz w:val="28"/>
                <w:szCs w:val="28"/>
                <w:lang w:val="uk-UA"/>
              </w:rPr>
            </w:pPr>
            <w:r w:rsidRPr="00721ECC">
              <w:rPr>
                <w:rFonts w:ascii="Times New Roman" w:hAnsi="Times New Roman" w:cs="Times New Roman"/>
                <w:color w:val="000000" w:themeColor="text1"/>
                <w:sz w:val="28"/>
                <w:szCs w:val="28"/>
                <w:shd w:val="clear" w:color="auto" w:fill="FFFFFF"/>
                <w:lang w:val="uk-UA"/>
              </w:rPr>
              <w:t xml:space="preserve">Відкриті торги з </w:t>
            </w:r>
            <w:r w:rsidRPr="00721ECC">
              <w:rPr>
                <w:rFonts w:ascii="Times New Roman" w:hAnsi="Times New Roman" w:cs="Times New Roman"/>
                <w:color w:val="auto"/>
                <w:sz w:val="28"/>
                <w:szCs w:val="28"/>
                <w:shd w:val="clear" w:color="auto" w:fill="FFFFFF"/>
                <w:lang w:val="uk-UA"/>
              </w:rPr>
              <w:t>Особливостями  на закупівлю</w:t>
            </w:r>
            <w:r w:rsidRPr="00721ECC">
              <w:rPr>
                <w:rFonts w:ascii="Times New Roman" w:eastAsia="Times New Roman" w:hAnsi="Times New Roman" w:cs="Times New Roman"/>
                <w:b/>
                <w:color w:val="auto"/>
                <w:sz w:val="28"/>
                <w:szCs w:val="28"/>
                <w:lang w:val="uk-UA"/>
              </w:rPr>
              <w:t xml:space="preserve"> </w:t>
            </w:r>
            <w:r w:rsidRPr="00721ECC">
              <w:rPr>
                <w:rFonts w:ascii="Times New Roman" w:hAnsi="Times New Roman" w:cs="Times New Roman"/>
                <w:b/>
                <w:color w:val="auto"/>
                <w:sz w:val="28"/>
                <w:szCs w:val="28"/>
                <w:lang w:val="uk-UA"/>
              </w:rPr>
              <w:t>«</w:t>
            </w:r>
            <w:r w:rsidRPr="00721ECC">
              <w:rPr>
                <w:rFonts w:ascii="Times New Roman" w:hAnsi="Times New Roman" w:cs="Times New Roman"/>
                <w:color w:val="auto"/>
                <w:sz w:val="28"/>
                <w:szCs w:val="28"/>
                <w:lang w:val="uk-UA"/>
              </w:rPr>
              <w:t xml:space="preserve">Засоби навчання для навчальних кабінетів ЗЗСО, що здійснюють освітній процес за державним стандартом базової середньої освіти на першому (адаптаційному) циклі і базової середньої освіти </w:t>
            </w:r>
            <w:r w:rsidRPr="00721ECC">
              <w:rPr>
                <w:rFonts w:ascii="Times New Roman" w:hAnsi="Times New Roman" w:cs="Times New Roman"/>
                <w:b/>
                <w:color w:val="auto"/>
                <w:sz w:val="28"/>
                <w:szCs w:val="28"/>
                <w:lang w:val="uk-UA"/>
              </w:rPr>
              <w:t xml:space="preserve">» </w:t>
            </w:r>
            <w:r w:rsidRPr="00721ECC">
              <w:rPr>
                <w:rFonts w:ascii="Times New Roman" w:hAnsi="Times New Roman" w:cs="Times New Roman"/>
                <w:color w:val="auto"/>
                <w:sz w:val="28"/>
                <w:szCs w:val="28"/>
                <w:lang w:val="uk-UA"/>
              </w:rPr>
              <w:t xml:space="preserve">код 80520000-5 — Навчальні засоби </w:t>
            </w:r>
            <w:r w:rsidRPr="00721ECC">
              <w:rPr>
                <w:rFonts w:ascii="Times New Roman" w:eastAsia="Times New Roman" w:hAnsi="Times New Roman" w:cs="Times New Roman"/>
                <w:color w:val="auto"/>
                <w:sz w:val="28"/>
                <w:szCs w:val="28"/>
                <w:lang w:val="uk-UA"/>
              </w:rPr>
              <w:t>за ДК 021:2015 Єдиного закупівельного словника.</w:t>
            </w:r>
          </w:p>
          <w:p w:rsidR="001F1F37" w:rsidRPr="00721ECC" w:rsidRDefault="00721ECC" w:rsidP="00721ECC">
            <w:pPr>
              <w:spacing w:line="240" w:lineRule="auto"/>
              <w:rPr>
                <w:rFonts w:ascii="Times New Roman" w:hAnsi="Times New Roman" w:cs="Times New Roman"/>
                <w:sz w:val="28"/>
                <w:szCs w:val="28"/>
                <w:lang w:val="uk-UA"/>
              </w:rPr>
            </w:pPr>
            <w:proofErr w:type="spellStart"/>
            <w:r w:rsidRPr="00721ECC">
              <w:rPr>
                <w:rFonts w:ascii="Times New Roman" w:eastAsia="Calibri" w:hAnsi="Times New Roman" w:cs="Times New Roman"/>
                <w:color w:val="000000" w:themeColor="text1"/>
                <w:sz w:val="28"/>
                <w:szCs w:val="28"/>
                <w:lang w:val="uk-UA" w:eastAsia="ar-SA"/>
              </w:rPr>
              <w:t>Індентифікатор</w:t>
            </w:r>
            <w:proofErr w:type="spellEnd"/>
            <w:r w:rsidRPr="00721ECC">
              <w:rPr>
                <w:rFonts w:ascii="Times New Roman" w:eastAsia="Calibri" w:hAnsi="Times New Roman" w:cs="Times New Roman"/>
                <w:color w:val="000000" w:themeColor="text1"/>
                <w:sz w:val="28"/>
                <w:szCs w:val="28"/>
                <w:lang w:val="uk-UA" w:eastAsia="ar-SA"/>
              </w:rPr>
              <w:t xml:space="preserve"> закупівлі </w:t>
            </w:r>
            <w:r w:rsidRPr="00721ECC">
              <w:rPr>
                <w:rFonts w:ascii="Times New Roman" w:eastAsia="Calibri" w:hAnsi="Times New Roman" w:cs="Times New Roman"/>
                <w:sz w:val="28"/>
                <w:szCs w:val="28"/>
                <w:lang w:val="uk-UA" w:eastAsia="ar-SA"/>
              </w:rPr>
              <w:t>https://prozorro.gov.ua/tender/</w:t>
            </w:r>
            <w:r w:rsidRPr="00721ECC">
              <w:rPr>
                <w:rFonts w:ascii="Times New Roman" w:hAnsi="Times New Roman" w:cs="Times New Roman"/>
                <w:b/>
                <w:sz w:val="28"/>
                <w:szCs w:val="28"/>
                <w:shd w:val="clear" w:color="auto" w:fill="FFFFFF"/>
                <w:lang w:val="uk-UA"/>
              </w:rPr>
              <w:t>ID: </w:t>
            </w:r>
            <w:r w:rsidR="00295DDC" w:rsidRPr="00295DDC">
              <w:rPr>
                <w:rStyle w:val="tendertuid2nhc4"/>
                <w:rFonts w:ascii="Times New Roman" w:hAnsi="Times New Roman" w:cs="Times New Roman"/>
                <w:b/>
                <w:sz w:val="28"/>
                <w:szCs w:val="28"/>
                <w:bdr w:val="none" w:sz="0" w:space="0" w:color="auto" w:frame="1"/>
                <w:shd w:val="clear" w:color="auto" w:fill="FFFFFF"/>
                <w:lang w:val="uk-UA"/>
              </w:rPr>
              <w:t>UA-2024-05-07-009432-a</w:t>
            </w:r>
            <w:r w:rsidRPr="00721ECC">
              <w:rPr>
                <w:rStyle w:val="tendertuid2nhc4"/>
                <w:rFonts w:ascii="Times New Roman" w:hAnsi="Times New Roman" w:cs="Times New Roman"/>
                <w:b/>
                <w:sz w:val="28"/>
                <w:szCs w:val="28"/>
                <w:bdr w:val="none" w:sz="0" w:space="0" w:color="auto" w:frame="1"/>
                <w:shd w:val="clear" w:color="auto" w:fill="FFFFFF"/>
                <w:lang w:val="uk-UA"/>
              </w:rPr>
              <w:t xml:space="preserve">.  </w:t>
            </w:r>
          </w:p>
        </w:tc>
      </w:tr>
      <w:tr w:rsidR="00722D29" w:rsidRPr="00724F62" w:rsidTr="00846E04">
        <w:trPr>
          <w:trHeight w:val="983"/>
        </w:trPr>
        <w:tc>
          <w:tcPr>
            <w:tcW w:w="454" w:type="dxa"/>
            <w:shd w:val="clear" w:color="auto" w:fill="auto"/>
            <w:vAlign w:val="center"/>
          </w:tcPr>
          <w:p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rsidR="00721ECC" w:rsidRPr="00721ECC" w:rsidRDefault="00721ECC" w:rsidP="00721ECC">
            <w:pPr>
              <w:spacing w:after="0" w:line="240" w:lineRule="auto"/>
              <w:jc w:val="both"/>
              <w:rPr>
                <w:rFonts w:ascii="Times New Roman" w:eastAsia="Times New Roman" w:hAnsi="Times New Roman" w:cs="Times New Roman"/>
                <w:sz w:val="28"/>
                <w:szCs w:val="28"/>
                <w:lang w:val="uk-UA"/>
              </w:rPr>
            </w:pPr>
            <w:r w:rsidRPr="00721ECC">
              <w:rPr>
                <w:rFonts w:ascii="Times New Roman" w:eastAsia="Times New Roman" w:hAnsi="Times New Roman" w:cs="Times New Roman"/>
                <w:sz w:val="28"/>
                <w:szCs w:val="28"/>
                <w:lang w:val="uk-UA"/>
              </w:rPr>
              <w:t>Товар повинен відповідати показникам якості, які встановлюються законодавством України, та діючим стандартам, технічним умовам даного виду товару, підтверджується сертифікатом якості виробника/походження та/або іншими документами встановленого зразка, виданого відповідними органами, які підтверджують якість товару та дійсні на території України (копії додаються при постачанні);</w:t>
            </w:r>
          </w:p>
          <w:p w:rsidR="00721ECC" w:rsidRPr="00721ECC" w:rsidRDefault="00721ECC" w:rsidP="00721ECC">
            <w:pPr>
              <w:spacing w:after="0" w:line="240" w:lineRule="auto"/>
              <w:rPr>
                <w:rFonts w:ascii="Times New Roman" w:eastAsia="Times New Roman" w:hAnsi="Times New Roman" w:cs="Times New Roman"/>
                <w:sz w:val="28"/>
                <w:szCs w:val="28"/>
                <w:lang w:val="uk-UA"/>
              </w:rPr>
            </w:pPr>
            <w:r w:rsidRPr="00721ECC">
              <w:rPr>
                <w:rFonts w:ascii="Times New Roman" w:eastAsia="Times New Roman" w:hAnsi="Times New Roman" w:cs="Times New Roman"/>
                <w:b/>
                <w:bCs/>
                <w:sz w:val="28"/>
                <w:szCs w:val="28"/>
                <w:lang w:val="uk-UA"/>
              </w:rPr>
              <w:t>Учасник зобов'язаний:</w:t>
            </w:r>
          </w:p>
          <w:p w:rsidR="00721ECC" w:rsidRPr="00721ECC" w:rsidRDefault="00721ECC" w:rsidP="00721ECC">
            <w:pPr>
              <w:numPr>
                <w:ilvl w:val="0"/>
                <w:numId w:val="5"/>
              </w:numPr>
              <w:spacing w:after="0" w:line="240" w:lineRule="auto"/>
              <w:jc w:val="both"/>
              <w:rPr>
                <w:rFonts w:ascii="Times New Roman" w:eastAsia="Tahoma" w:hAnsi="Times New Roman" w:cs="Times New Roman"/>
                <w:sz w:val="28"/>
                <w:szCs w:val="28"/>
                <w:lang w:val="uk-UA"/>
              </w:rPr>
            </w:pPr>
            <w:r w:rsidRPr="00721ECC">
              <w:rPr>
                <w:rFonts w:ascii="Times New Roman" w:eastAsia="Tahoma" w:hAnsi="Times New Roman" w:cs="Times New Roman"/>
                <w:sz w:val="28"/>
                <w:szCs w:val="28"/>
                <w:lang w:val="uk-UA"/>
              </w:rPr>
              <w:lastRenderedPageBreak/>
              <w:t>Учасник повинен поставити Замовнику товар з матеріалів, якість яких повинна відповідати встановленим законодавством нормам, сертифікатам виробника та іншим нормативним документам;</w:t>
            </w:r>
          </w:p>
          <w:p w:rsidR="00721ECC" w:rsidRPr="00721ECC" w:rsidRDefault="00721ECC" w:rsidP="00721ECC">
            <w:pPr>
              <w:numPr>
                <w:ilvl w:val="0"/>
                <w:numId w:val="5"/>
              </w:numPr>
              <w:spacing w:after="0" w:line="240" w:lineRule="auto"/>
              <w:jc w:val="both"/>
              <w:rPr>
                <w:rFonts w:ascii="Times New Roman" w:eastAsia="Tahoma" w:hAnsi="Times New Roman" w:cs="Times New Roman"/>
                <w:sz w:val="28"/>
                <w:szCs w:val="28"/>
                <w:lang w:val="uk-UA"/>
              </w:rPr>
            </w:pPr>
            <w:r w:rsidRPr="00721ECC">
              <w:rPr>
                <w:rFonts w:ascii="Times New Roman" w:eastAsia="Tahoma" w:hAnsi="Times New Roman" w:cs="Times New Roman"/>
                <w:sz w:val="28"/>
                <w:szCs w:val="28"/>
                <w:lang w:val="uk-UA"/>
              </w:rPr>
              <w:t>Товар повинен бути не пошкоджений та мати захисну упаковку та документацію;</w:t>
            </w:r>
          </w:p>
          <w:p w:rsidR="00721ECC" w:rsidRPr="00721ECC" w:rsidRDefault="00721ECC" w:rsidP="00721ECC">
            <w:pPr>
              <w:numPr>
                <w:ilvl w:val="0"/>
                <w:numId w:val="5"/>
              </w:numPr>
              <w:spacing w:after="0" w:line="240" w:lineRule="auto"/>
              <w:jc w:val="both"/>
              <w:rPr>
                <w:rFonts w:ascii="Times New Roman" w:eastAsia="Tahoma" w:hAnsi="Times New Roman" w:cs="Times New Roman"/>
                <w:sz w:val="28"/>
                <w:szCs w:val="28"/>
                <w:lang w:val="uk-UA"/>
              </w:rPr>
            </w:pPr>
            <w:r w:rsidRPr="00721ECC">
              <w:rPr>
                <w:rFonts w:ascii="Times New Roman" w:eastAsia="Tahoma" w:hAnsi="Times New Roman" w:cs="Times New Roman"/>
                <w:sz w:val="28"/>
                <w:szCs w:val="28"/>
                <w:lang w:val="uk-UA"/>
              </w:rPr>
              <w:t>Товар має бути новим без зовнішніх пошкоджень, не брудний та повинен відповідати заявленому асортименту;</w:t>
            </w:r>
          </w:p>
          <w:p w:rsidR="00721ECC" w:rsidRPr="00721ECC" w:rsidRDefault="00721ECC" w:rsidP="00721ECC">
            <w:pPr>
              <w:numPr>
                <w:ilvl w:val="0"/>
                <w:numId w:val="5"/>
              </w:numPr>
              <w:spacing w:after="0" w:line="240" w:lineRule="auto"/>
              <w:jc w:val="both"/>
              <w:rPr>
                <w:rFonts w:ascii="Times New Roman" w:eastAsia="Tahoma" w:hAnsi="Times New Roman" w:cs="Times New Roman"/>
                <w:sz w:val="28"/>
                <w:szCs w:val="28"/>
                <w:lang w:val="uk-UA"/>
              </w:rPr>
            </w:pPr>
            <w:r w:rsidRPr="00721ECC">
              <w:rPr>
                <w:rFonts w:ascii="Times New Roman" w:eastAsia="Tahoma" w:hAnsi="Times New Roman" w:cs="Times New Roman"/>
                <w:sz w:val="28"/>
                <w:szCs w:val="28"/>
                <w:lang w:val="uk-UA"/>
              </w:rPr>
              <w:t>Упаковка повинна бути цілісною, яка відповідає характеру товару зберігаючи якість товару під час перевезення з необхідними реквізитами виробника. Вимоги до пакування та маркування Товару: Тара та упаковка повинна відповідати вимогам встановленим до даного виду товару і захищати його від пошкоджень або псування під час перевезення (доставки). У разі поставки неякісного товару замовник буде вживати заходи, передбачені чинним законодавством в сфері регулювання господарських відносин;</w:t>
            </w:r>
          </w:p>
          <w:p w:rsidR="00721ECC" w:rsidRPr="00721ECC" w:rsidRDefault="00721ECC" w:rsidP="00721ECC">
            <w:pPr>
              <w:spacing w:after="0" w:line="240" w:lineRule="auto"/>
              <w:jc w:val="both"/>
              <w:rPr>
                <w:rFonts w:ascii="Times New Roman" w:hAnsi="Times New Roman"/>
                <w:b/>
                <w:sz w:val="28"/>
                <w:szCs w:val="28"/>
                <w:lang w:val="uk-UA"/>
              </w:rPr>
            </w:pPr>
            <w:r w:rsidRPr="00721ECC">
              <w:rPr>
                <w:rFonts w:ascii="Times New Roman" w:hAnsi="Times New Roman"/>
                <w:b/>
                <w:sz w:val="28"/>
                <w:szCs w:val="28"/>
                <w:lang w:val="uk-UA"/>
              </w:rPr>
              <w:t>Інформацію про відповідність запропонованого до поставки Товару технічним та якісним вимогам Замовника,  підтвердити шляхом надання під час проведення процедури (повинні бути завантажені в електронну систему до кінцевого строку подання тендерних пропозицій) закупівлі сканованих копій наступних документів:</w:t>
            </w:r>
          </w:p>
          <w:p w:rsidR="00721ECC" w:rsidRPr="00721ECC" w:rsidRDefault="00721ECC" w:rsidP="00721ECC">
            <w:pPr>
              <w:spacing w:after="0" w:line="240" w:lineRule="auto"/>
              <w:jc w:val="both"/>
              <w:rPr>
                <w:rFonts w:ascii="Times New Roman" w:hAnsi="Times New Roman"/>
                <w:color w:val="000000" w:themeColor="text1"/>
                <w:sz w:val="28"/>
                <w:szCs w:val="28"/>
                <w:lang w:val="uk-UA"/>
              </w:rPr>
            </w:pPr>
            <w:r w:rsidRPr="00721ECC">
              <w:rPr>
                <w:rFonts w:ascii="Times New Roman" w:hAnsi="Times New Roman"/>
                <w:color w:val="000000" w:themeColor="text1"/>
                <w:sz w:val="28"/>
                <w:szCs w:val="28"/>
                <w:lang w:val="uk-UA"/>
              </w:rPr>
              <w:t xml:space="preserve">2.1. Порівняльну таблицю відповідності запропонованого товару технічним вимогам Замовника (обов‘язково зазначається виробник та модель для можливості перевірки запропонованого обладнання технічним вимогам Замовника) </w:t>
            </w:r>
          </w:p>
          <w:p w:rsidR="00721ECC" w:rsidRPr="00721ECC" w:rsidRDefault="00721ECC" w:rsidP="00721ECC">
            <w:pPr>
              <w:spacing w:after="0" w:line="240" w:lineRule="auto"/>
              <w:jc w:val="both"/>
              <w:rPr>
                <w:rFonts w:ascii="Times New Roman" w:hAnsi="Times New Roman"/>
                <w:sz w:val="28"/>
                <w:szCs w:val="28"/>
                <w:lang w:val="uk-UA"/>
              </w:rPr>
            </w:pPr>
            <w:r w:rsidRPr="00721ECC">
              <w:rPr>
                <w:rFonts w:ascii="Times New Roman" w:hAnsi="Times New Roman"/>
                <w:sz w:val="28"/>
                <w:szCs w:val="28"/>
                <w:lang w:val="uk-UA"/>
              </w:rPr>
              <w:t>2.2 Копію сертифікату(декларації) відповідності на демонстраційне та лабораторне обладнання виданий уповноваженим органом з сертифікації.</w:t>
            </w:r>
          </w:p>
          <w:p w:rsidR="00721ECC" w:rsidRPr="00721ECC" w:rsidRDefault="00721ECC" w:rsidP="00721ECC">
            <w:pPr>
              <w:spacing w:after="0" w:line="240" w:lineRule="auto"/>
              <w:jc w:val="both"/>
              <w:rPr>
                <w:rFonts w:ascii="Times New Roman" w:hAnsi="Times New Roman"/>
                <w:sz w:val="28"/>
                <w:szCs w:val="28"/>
                <w:lang w:val="uk-UA"/>
              </w:rPr>
            </w:pPr>
            <w:r w:rsidRPr="00721ECC">
              <w:rPr>
                <w:rFonts w:ascii="Times New Roman" w:hAnsi="Times New Roman"/>
                <w:sz w:val="28"/>
                <w:szCs w:val="28"/>
                <w:lang w:val="uk-UA"/>
              </w:rPr>
              <w:t xml:space="preserve">2.3. </w:t>
            </w:r>
            <w:proofErr w:type="spellStart"/>
            <w:r w:rsidRPr="00721ECC">
              <w:rPr>
                <w:rFonts w:ascii="Times New Roman" w:hAnsi="Times New Roman"/>
                <w:sz w:val="28"/>
                <w:szCs w:val="28"/>
                <w:lang w:val="uk-UA"/>
              </w:rPr>
              <w:t>Авторизаційний</w:t>
            </w:r>
            <w:proofErr w:type="spellEnd"/>
            <w:r w:rsidRPr="00721ECC">
              <w:rPr>
                <w:rFonts w:ascii="Times New Roman" w:hAnsi="Times New Roman"/>
                <w:sz w:val="28"/>
                <w:szCs w:val="28"/>
                <w:lang w:val="uk-UA"/>
              </w:rPr>
              <w:t xml:space="preserve"> лист наданий виробником демонстраційного та лабораторного обладнання для навчальних кабінетів відповідно до вимог тендерної документації із зазначенням номеру процедури закупівлі.</w:t>
            </w:r>
          </w:p>
          <w:p w:rsidR="00721ECC" w:rsidRPr="00721ECC" w:rsidRDefault="00721ECC" w:rsidP="00721ECC">
            <w:pPr>
              <w:spacing w:after="0" w:line="240" w:lineRule="auto"/>
              <w:jc w:val="both"/>
              <w:rPr>
                <w:rFonts w:ascii="Times New Roman" w:hAnsi="Times New Roman"/>
                <w:sz w:val="28"/>
                <w:szCs w:val="28"/>
                <w:lang w:val="uk-UA"/>
              </w:rPr>
            </w:pPr>
            <w:r w:rsidRPr="00721ECC">
              <w:rPr>
                <w:rFonts w:ascii="Times New Roman" w:hAnsi="Times New Roman"/>
                <w:sz w:val="28"/>
                <w:szCs w:val="28"/>
                <w:lang w:val="uk-UA"/>
              </w:rPr>
              <w:t>2.4. Гарантійний лист про надання гарантії на все обладнання строком не менше 12 місяців.</w:t>
            </w:r>
          </w:p>
          <w:p w:rsidR="00722D29" w:rsidRPr="00721ECC" w:rsidRDefault="00722D29" w:rsidP="00721ECC">
            <w:pPr>
              <w:spacing w:after="0" w:line="240" w:lineRule="auto"/>
              <w:ind w:firstLine="426"/>
              <w:jc w:val="both"/>
              <w:rPr>
                <w:rFonts w:ascii="Times New Roman" w:hAnsi="Times New Roman"/>
                <w:sz w:val="28"/>
                <w:szCs w:val="28"/>
                <w:lang w:val="uk-UA"/>
              </w:rPr>
            </w:pPr>
          </w:p>
        </w:tc>
      </w:tr>
      <w:tr w:rsidR="00722D29" w:rsidRPr="00724F62" w:rsidTr="00846E04">
        <w:trPr>
          <w:trHeight w:val="1408"/>
        </w:trPr>
        <w:tc>
          <w:tcPr>
            <w:tcW w:w="454" w:type="dxa"/>
            <w:shd w:val="clear" w:color="auto" w:fill="auto"/>
            <w:vAlign w:val="center"/>
          </w:tcPr>
          <w:p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 xml:space="preserve">Обґрунтування очікуваної вартості предмета закупівлі, розміру </w:t>
            </w:r>
            <w:r w:rsidRPr="00724F62">
              <w:rPr>
                <w:rFonts w:ascii="Times New Roman" w:eastAsia="Times New Roman" w:hAnsi="Times New Roman" w:cs="Times New Roman"/>
                <w:bCs/>
                <w:spacing w:val="-10"/>
                <w:sz w:val="28"/>
                <w:szCs w:val="28"/>
                <w:lang w:val="uk-UA"/>
              </w:rPr>
              <w:lastRenderedPageBreak/>
              <w:t>бюджетного призначення</w:t>
            </w:r>
          </w:p>
        </w:tc>
        <w:tc>
          <w:tcPr>
            <w:tcW w:w="7088" w:type="dxa"/>
            <w:shd w:val="clear" w:color="auto" w:fill="auto"/>
            <w:vAlign w:val="center"/>
          </w:tcPr>
          <w:p w:rsidR="00C6490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lastRenderedPageBreak/>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w:t>
            </w:r>
            <w:r w:rsidRPr="00FC67FF">
              <w:rPr>
                <w:rFonts w:ascii="Times New Roman" w:hAnsi="Times New Roman" w:cs="Times New Roman"/>
                <w:spacing w:val="-10"/>
                <w:sz w:val="28"/>
                <w:szCs w:val="28"/>
                <w:lang w:val="uk-UA"/>
              </w:rPr>
              <w:lastRenderedPageBreak/>
              <w:t>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rsidR="00722D2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z w:val="28"/>
                <w:szCs w:val="28"/>
                <w:shd w:val="clear" w:color="auto" w:fill="FFFFFF"/>
                <w:lang w:val="uk-UA"/>
              </w:rPr>
              <w:t xml:space="preserve">Визначено очікувану ціну за одиницю, </w:t>
            </w:r>
            <w:r w:rsidRPr="00FC67FF">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FC67FF">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FC67FF">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rsidR="00722D29" w:rsidRPr="00FC67FF" w:rsidRDefault="00722D29" w:rsidP="00FC67FF">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xml:space="preserve">+… +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r w:rsidRPr="00FC67FF">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FC67FF" w:rsidTr="002B1CED">
              <w:tc>
                <w:tcPr>
                  <w:tcW w:w="368" w:type="dxa"/>
                  <w:tcBorders>
                    <w:top w:val="nil"/>
                    <w:left w:val="nil"/>
                    <w:bottom w:val="nil"/>
                    <w:right w:val="nil"/>
                  </w:tcBorders>
                  <w:hideMark/>
                </w:tcPr>
                <w:p w:rsidR="00722D29" w:rsidRPr="00FC67FF" w:rsidRDefault="00C64909" w:rsidP="00FC67FF">
                  <w:pPr>
                    <w:spacing w:before="150" w:after="150" w:line="240" w:lineRule="auto"/>
                    <w:jc w:val="both"/>
                    <w:rPr>
                      <w:rFonts w:ascii="Times New Roman" w:hAnsi="Times New Roman" w:cs="Times New Roman"/>
                      <w:sz w:val="28"/>
                      <w:szCs w:val="28"/>
                      <w:lang w:val="uk-UA" w:eastAsia="uk-UA"/>
                    </w:rPr>
                  </w:pPr>
                  <w:bookmarkStart w:id="0" w:name="n61"/>
                  <w:bookmarkEnd w:id="0"/>
                  <w:r w:rsidRPr="00FC67FF">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очікувана ціна за одиницю;</w:t>
                  </w:r>
                </w:p>
              </w:tc>
            </w:tr>
            <w:tr w:rsidR="00722D29" w:rsidRPr="00FC67FF" w:rsidTr="002B1CED">
              <w:tc>
                <w:tcPr>
                  <w:tcW w:w="368"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xml:space="preserve">,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rsidR="00722D29" w:rsidRPr="00FC67FF" w:rsidRDefault="00722D29" w:rsidP="00FC67FF">
                  <w:pPr>
                    <w:spacing w:before="150" w:after="150" w:line="240" w:lineRule="auto"/>
                    <w:ind w:left="123" w:hanging="123"/>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FC67FF" w:rsidTr="002B1CED">
              <w:tc>
                <w:tcPr>
                  <w:tcW w:w="368"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кількість цін, отриманих з відкритих джерел інформації;</w:t>
                  </w:r>
                </w:p>
              </w:tc>
            </w:tr>
          </w:tbl>
          <w:p w:rsidR="00632BC5" w:rsidRPr="00FC67FF" w:rsidRDefault="00632BC5"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Розмір бюджетного призначення згідно потреби на 202</w:t>
            </w:r>
            <w:r w:rsidR="00295DDC">
              <w:rPr>
                <w:rFonts w:ascii="Times New Roman" w:hAnsi="Times New Roman" w:cs="Times New Roman"/>
                <w:spacing w:val="-10"/>
                <w:sz w:val="28"/>
                <w:szCs w:val="28"/>
                <w:lang w:val="uk-UA"/>
              </w:rPr>
              <w:t>4</w:t>
            </w:r>
            <w:r w:rsidRPr="00FC67FF">
              <w:rPr>
                <w:rFonts w:ascii="Times New Roman" w:hAnsi="Times New Roman" w:cs="Times New Roman"/>
                <w:spacing w:val="-10"/>
                <w:sz w:val="28"/>
                <w:szCs w:val="28"/>
                <w:lang w:val="uk-UA"/>
              </w:rPr>
              <w:t xml:space="preserve">р   складає </w:t>
            </w:r>
            <w:r w:rsidR="00BC752A" w:rsidRPr="00FC67FF">
              <w:rPr>
                <w:rFonts w:ascii="Times New Roman" w:hAnsi="Times New Roman" w:cs="Times New Roman"/>
                <w:b/>
                <w:spacing w:val="-10"/>
                <w:sz w:val="28"/>
                <w:szCs w:val="28"/>
                <w:lang w:val="uk-UA"/>
              </w:rPr>
              <w:t xml:space="preserve"> </w:t>
            </w:r>
            <w:r w:rsidR="00295DDC">
              <w:rPr>
                <w:rFonts w:ascii="Times New Roman" w:hAnsi="Times New Roman" w:cs="Times New Roman"/>
                <w:b/>
                <w:spacing w:val="-10"/>
                <w:sz w:val="28"/>
                <w:szCs w:val="28"/>
                <w:lang w:val="uk-UA"/>
              </w:rPr>
              <w:t>307330</w:t>
            </w:r>
            <w:r w:rsidR="00FD7746" w:rsidRPr="00FC67FF">
              <w:rPr>
                <w:rFonts w:ascii="Times New Roman" w:hAnsi="Times New Roman" w:cs="Times New Roman"/>
                <w:b/>
                <w:spacing w:val="-10"/>
                <w:sz w:val="28"/>
                <w:szCs w:val="28"/>
                <w:lang w:val="uk-UA"/>
              </w:rPr>
              <w:t>,</w:t>
            </w:r>
            <w:r w:rsidR="00D45F17" w:rsidRPr="00FC67FF">
              <w:rPr>
                <w:rFonts w:ascii="Times New Roman" w:hAnsi="Times New Roman" w:cs="Times New Roman"/>
                <w:b/>
                <w:spacing w:val="-10"/>
                <w:sz w:val="28"/>
                <w:szCs w:val="28"/>
                <w:lang w:val="uk-UA"/>
              </w:rPr>
              <w:t>00</w:t>
            </w:r>
            <w:r w:rsidRPr="00FC67FF">
              <w:rPr>
                <w:rFonts w:ascii="Times New Roman" w:hAnsi="Times New Roman" w:cs="Times New Roman"/>
                <w:b/>
                <w:spacing w:val="-10"/>
                <w:sz w:val="28"/>
                <w:szCs w:val="28"/>
                <w:lang w:val="uk-UA"/>
              </w:rPr>
              <w:t xml:space="preserve">  грн.</w:t>
            </w:r>
          </w:p>
          <w:p w:rsidR="00722D29" w:rsidRPr="00295DDC" w:rsidRDefault="00573E4C" w:rsidP="00295DDC">
            <w:pPr>
              <w:spacing w:line="240" w:lineRule="auto"/>
              <w:jc w:val="both"/>
              <w:rPr>
                <w:rFonts w:ascii="Times New Roman" w:hAnsi="Times New Roman" w:cs="Times New Roman"/>
                <w:bCs/>
                <w:color w:val="000000"/>
                <w:sz w:val="28"/>
                <w:szCs w:val="28"/>
                <w:lang w:val="uk-UA"/>
              </w:rPr>
            </w:pPr>
            <w:r w:rsidRPr="00295DDC">
              <w:rPr>
                <w:rFonts w:ascii="Times New Roman" w:hAnsi="Times New Roman" w:cs="Times New Roman"/>
                <w:bCs/>
                <w:color w:val="000000"/>
                <w:sz w:val="28"/>
                <w:szCs w:val="28"/>
                <w:lang w:val="uk-UA"/>
              </w:rPr>
              <w:t xml:space="preserve">Очікувана вартість </w:t>
            </w:r>
            <w:r w:rsidR="00295DDC" w:rsidRPr="00295DDC">
              <w:rPr>
                <w:rFonts w:ascii="Times New Roman" w:hAnsi="Times New Roman" w:cs="Times New Roman"/>
                <w:bCs/>
                <w:color w:val="000000"/>
                <w:sz w:val="28"/>
                <w:szCs w:val="28"/>
                <w:lang w:val="uk-UA"/>
              </w:rPr>
              <w:t>307330</w:t>
            </w:r>
            <w:r w:rsidR="00632BC5" w:rsidRPr="00295DDC">
              <w:rPr>
                <w:rFonts w:ascii="Times New Roman" w:hAnsi="Times New Roman" w:cs="Times New Roman"/>
                <w:bCs/>
                <w:color w:val="000000"/>
                <w:sz w:val="28"/>
                <w:szCs w:val="28"/>
                <w:lang w:val="uk-UA"/>
              </w:rPr>
              <w:t>,00 грн.</w:t>
            </w:r>
          </w:p>
        </w:tc>
      </w:tr>
    </w:tbl>
    <w:p w:rsidR="00D87D26" w:rsidRDefault="00D87D26" w:rsidP="009F4D2D">
      <w:pPr>
        <w:jc w:val="both"/>
        <w:rPr>
          <w:rFonts w:ascii="Times New Roman" w:eastAsia="Times New Roman" w:hAnsi="Times New Roman" w:cs="Times New Roman"/>
          <w:sz w:val="28"/>
          <w:szCs w:val="28"/>
          <w:lang w:val="uk-UA" w:eastAsia="en-US"/>
        </w:rPr>
      </w:pPr>
    </w:p>
    <w:p w:rsidR="00C5114A" w:rsidRPr="00C5114A" w:rsidRDefault="00C5114A" w:rsidP="009F4D2D">
      <w:pPr>
        <w:jc w:val="both"/>
        <w:rPr>
          <w:rFonts w:ascii="Times New Roman" w:eastAsia="Times New Roman" w:hAnsi="Times New Roman" w:cs="Times New Roman"/>
          <w:sz w:val="28"/>
          <w:szCs w:val="28"/>
          <w:lang w:val="uk-UA" w:eastAsia="en-US"/>
        </w:rPr>
      </w:pPr>
    </w:p>
    <w:p w:rsidR="009F4D2D" w:rsidRPr="00C5114A" w:rsidRDefault="001F1F37" w:rsidP="009F4D2D">
      <w:pPr>
        <w:jc w:val="both"/>
        <w:rPr>
          <w:rFonts w:ascii="Times New Roman" w:hAnsi="Times New Roman" w:cs="Times New Roman"/>
          <w:sz w:val="28"/>
          <w:szCs w:val="28"/>
          <w:lang w:val="uk-UA"/>
        </w:rPr>
      </w:pPr>
      <w:r w:rsidRPr="00C5114A">
        <w:rPr>
          <w:rFonts w:ascii="Times New Roman" w:hAnsi="Times New Roman" w:cs="Times New Roman"/>
          <w:sz w:val="28"/>
          <w:szCs w:val="28"/>
          <w:lang w:val="uk-UA"/>
        </w:rPr>
        <w:t>Начальник</w:t>
      </w:r>
      <w:r w:rsidR="00803BFF" w:rsidRPr="00C5114A">
        <w:rPr>
          <w:rFonts w:ascii="Times New Roman" w:hAnsi="Times New Roman" w:cs="Times New Roman"/>
          <w:sz w:val="28"/>
          <w:szCs w:val="28"/>
          <w:lang w:val="uk-UA"/>
        </w:rPr>
        <w:t xml:space="preserve">  Управління</w:t>
      </w:r>
      <w:r w:rsidR="00A8635A" w:rsidRPr="00C5114A">
        <w:rPr>
          <w:rFonts w:ascii="Times New Roman" w:hAnsi="Times New Roman" w:cs="Times New Roman"/>
          <w:sz w:val="28"/>
          <w:szCs w:val="28"/>
          <w:lang w:val="uk-UA"/>
        </w:rPr>
        <w:t xml:space="preserve"> освіти</w:t>
      </w:r>
      <w:r w:rsidR="00803BFF" w:rsidRPr="00C5114A">
        <w:rPr>
          <w:rFonts w:ascii="Times New Roman" w:hAnsi="Times New Roman" w:cs="Times New Roman"/>
          <w:sz w:val="28"/>
          <w:szCs w:val="28"/>
          <w:lang w:val="uk-UA"/>
        </w:rPr>
        <w:t xml:space="preserve">                          </w:t>
      </w:r>
      <w:r w:rsidR="00A8635A" w:rsidRPr="00C5114A">
        <w:rPr>
          <w:rFonts w:ascii="Times New Roman" w:hAnsi="Times New Roman" w:cs="Times New Roman"/>
          <w:sz w:val="28"/>
          <w:szCs w:val="28"/>
          <w:lang w:val="uk-UA"/>
        </w:rPr>
        <w:t xml:space="preserve">                      Олена </w:t>
      </w:r>
      <w:r w:rsidR="00803BFF" w:rsidRPr="00C5114A">
        <w:rPr>
          <w:rFonts w:ascii="Times New Roman" w:hAnsi="Times New Roman" w:cs="Times New Roman"/>
          <w:sz w:val="28"/>
          <w:szCs w:val="28"/>
          <w:lang w:val="uk-UA"/>
        </w:rPr>
        <w:t>ПРИНЦ</w:t>
      </w:r>
      <w:r w:rsidR="009F4D2D" w:rsidRPr="00C5114A">
        <w:rPr>
          <w:rFonts w:ascii="Times New Roman" w:hAnsi="Times New Roman" w:cs="Times New Roman"/>
          <w:sz w:val="28"/>
          <w:szCs w:val="28"/>
          <w:lang w:val="uk-UA"/>
        </w:rPr>
        <w:t xml:space="preserve"> </w:t>
      </w:r>
    </w:p>
    <w:p w:rsidR="00846E04" w:rsidRDefault="00846E04" w:rsidP="009F4D2D">
      <w:pPr>
        <w:jc w:val="both"/>
        <w:rPr>
          <w:rFonts w:ascii="Times New Roman" w:hAnsi="Times New Roman" w:cs="Times New Roman"/>
          <w:sz w:val="28"/>
          <w:szCs w:val="28"/>
          <w:lang w:val="uk-UA"/>
        </w:rPr>
      </w:pPr>
      <w:bookmarkStart w:id="1" w:name="_GoBack"/>
      <w:bookmarkEnd w:id="1"/>
    </w:p>
    <w:p w:rsidR="006B284E" w:rsidRPr="00C5114A" w:rsidRDefault="002F41E8" w:rsidP="006B284E">
      <w:pPr>
        <w:jc w:val="both"/>
        <w:rPr>
          <w:rFonts w:ascii="Times New Roman" w:hAnsi="Times New Roman" w:cs="Times New Roman"/>
          <w:sz w:val="20"/>
          <w:szCs w:val="20"/>
          <w:lang w:val="uk-UA"/>
        </w:rPr>
      </w:pPr>
      <w:r w:rsidRPr="00C5114A">
        <w:rPr>
          <w:rFonts w:ascii="Times New Roman" w:hAnsi="Times New Roman" w:cs="Times New Roman"/>
          <w:sz w:val="20"/>
          <w:szCs w:val="20"/>
          <w:lang w:val="uk-UA"/>
        </w:rPr>
        <w:t>Олексій СТАТІВКО</w:t>
      </w:r>
      <w:r w:rsidR="00234BAD">
        <w:rPr>
          <w:rFonts w:ascii="Times New Roman" w:hAnsi="Times New Roman" w:cs="Times New Roman"/>
          <w:sz w:val="20"/>
          <w:szCs w:val="20"/>
          <w:lang w:val="uk-UA"/>
        </w:rPr>
        <w:t xml:space="preserve"> </w:t>
      </w:r>
      <w:r w:rsidR="00234BAD" w:rsidRPr="00234BAD">
        <w:rPr>
          <w:rFonts w:ascii="Times New Roman" w:hAnsi="Times New Roman" w:cs="Times New Roman"/>
          <w:sz w:val="20"/>
          <w:szCs w:val="20"/>
          <w:lang w:val="uk-UA"/>
        </w:rPr>
        <w:t>+380678451830</w:t>
      </w:r>
    </w:p>
    <w:sectPr w:rsidR="006B284E" w:rsidRPr="00C5114A" w:rsidSect="00721ECC">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34BAD"/>
    <w:rsid w:val="00282254"/>
    <w:rsid w:val="00285632"/>
    <w:rsid w:val="00295DDC"/>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017F"/>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1252B"/>
    <w:rsid w:val="00632BC5"/>
    <w:rsid w:val="00636F01"/>
    <w:rsid w:val="00672E7E"/>
    <w:rsid w:val="006B0278"/>
    <w:rsid w:val="006B284E"/>
    <w:rsid w:val="006B4026"/>
    <w:rsid w:val="006D26E4"/>
    <w:rsid w:val="006E38D2"/>
    <w:rsid w:val="00721ECC"/>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1E8C"/>
    <w:rsid w:val="009E3D1D"/>
    <w:rsid w:val="009F1894"/>
    <w:rsid w:val="009F4D2D"/>
    <w:rsid w:val="00A37450"/>
    <w:rsid w:val="00A539E1"/>
    <w:rsid w:val="00A66FFC"/>
    <w:rsid w:val="00A8635A"/>
    <w:rsid w:val="00AC1C4D"/>
    <w:rsid w:val="00B02C0E"/>
    <w:rsid w:val="00B05B47"/>
    <w:rsid w:val="00B65171"/>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D8FC3A"/>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и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Назва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Звичайний (веб)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у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інтервалів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9424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42760249">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3171</Words>
  <Characters>1809</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USER</cp:lastModifiedBy>
  <cp:revision>10</cp:revision>
  <cp:lastPrinted>2023-11-16T14:53:00Z</cp:lastPrinted>
  <dcterms:created xsi:type="dcterms:W3CDTF">2023-10-27T06:19:00Z</dcterms:created>
  <dcterms:modified xsi:type="dcterms:W3CDTF">2024-05-13T12:37:00Z</dcterms:modified>
</cp:coreProperties>
</file>