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ED" w:rsidRDefault="00E4287F">
      <w:pPr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Інформація</w:t>
      </w:r>
      <w:proofErr w:type="spellEnd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про</w:t>
      </w:r>
      <w:proofErr w:type="gramEnd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роботу 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uk-UA" w:eastAsia="ru-RU" w:bidi="ar-SA"/>
        </w:rPr>
        <w:t>з документами</w:t>
      </w:r>
    </w:p>
    <w:p w:rsidR="007219ED" w:rsidRDefault="00E4287F">
      <w:pPr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uk-UA" w:eastAsia="ru-RU" w:bidi="ar-SA"/>
        </w:rPr>
        <w:t xml:space="preserve">та </w:t>
      </w:r>
      <w:proofErr w:type="spell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зі</w:t>
      </w:r>
      <w:proofErr w:type="spellEnd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зверненнями</w:t>
      </w:r>
      <w:proofErr w:type="spellEnd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громадян</w:t>
      </w:r>
      <w:proofErr w:type="spellEnd"/>
    </w:p>
    <w:p w:rsidR="007219ED" w:rsidRDefault="00E4287F">
      <w:pPr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в </w:t>
      </w:r>
      <w:proofErr w:type="spell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Департаменті</w:t>
      </w:r>
      <w:proofErr w:type="spellEnd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соц</w:t>
      </w:r>
      <w:proofErr w:type="spellEnd"/>
      <w:proofErr w:type="gramEnd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uk-UA" w:eastAsia="ru-RU" w:bidi="ar-SA"/>
        </w:rPr>
        <w:t>і</w:t>
      </w:r>
      <w:proofErr w:type="spell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альної</w:t>
      </w:r>
      <w:proofErr w:type="spellEnd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сімейної</w:t>
      </w:r>
      <w:proofErr w:type="spellEnd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пол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uk-UA" w:eastAsia="ru-RU" w:bidi="ar-SA"/>
        </w:rPr>
        <w:t>і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тики та </w:t>
      </w:r>
      <w:proofErr w:type="spell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охорони</w:t>
      </w:r>
      <w:proofErr w:type="spellEnd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здоров'я</w:t>
      </w:r>
      <w:proofErr w:type="spellEnd"/>
    </w:p>
    <w:p w:rsidR="007219ED" w:rsidRPr="00E4287F" w:rsidRDefault="00E4287F">
      <w:pPr>
        <w:widowControl/>
        <w:ind w:firstLine="720"/>
        <w:jc w:val="center"/>
        <w:rPr>
          <w:lang w:val="ru-RU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uk-UA" w:eastAsia="ru-RU" w:bidi="ar-SA"/>
        </w:rPr>
        <w:t xml:space="preserve">Білгород-Дністровської міської ради 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за 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uk-UA" w:eastAsia="ru-RU" w:bidi="ar-SA"/>
        </w:rPr>
        <w:t>6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місяців</w:t>
      </w:r>
      <w:proofErr w:type="spellEnd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 xml:space="preserve"> 2021 року</w:t>
      </w:r>
    </w:p>
    <w:p w:rsidR="007219ED" w:rsidRPr="00E4287F" w:rsidRDefault="00E4287F">
      <w:pPr>
        <w:widowControl/>
        <w:spacing w:before="278"/>
        <w:ind w:firstLine="709"/>
        <w:jc w:val="both"/>
        <w:rPr>
          <w:lang w:val="ru-RU"/>
        </w:rPr>
      </w:pPr>
      <w:proofErr w:type="spellStart"/>
      <w:r>
        <w:rPr>
          <w:rFonts w:eastAsia="Times New Roman" w:cs="Times New Roman"/>
          <w:sz w:val="28"/>
          <w:szCs w:val="28"/>
          <w:lang w:val="ru-RU" w:eastAsia="ru-RU" w:bidi="ar-SA"/>
        </w:rPr>
        <w:t>Протягом</w:t>
      </w:r>
      <w:proofErr w:type="spellEnd"/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val="uk-UA" w:eastAsia="ru-RU" w:bidi="ar-SA"/>
        </w:rPr>
        <w:t xml:space="preserve">6 місяців 2021 року департаментом </w:t>
      </w:r>
      <w:proofErr w:type="gramStart"/>
      <w:r>
        <w:rPr>
          <w:rFonts w:eastAsia="Times New Roman" w:cs="Times New Roman"/>
          <w:sz w:val="28"/>
          <w:szCs w:val="28"/>
          <w:lang w:val="uk-UA" w:eastAsia="ru-RU" w:bidi="ar-SA"/>
        </w:rPr>
        <w:t>соц</w:t>
      </w:r>
      <w:proofErr w:type="gramEnd"/>
      <w:r>
        <w:rPr>
          <w:rFonts w:eastAsia="Times New Roman" w:cs="Times New Roman"/>
          <w:sz w:val="28"/>
          <w:szCs w:val="28"/>
          <w:lang w:val="uk-UA" w:eastAsia="ru-RU" w:bidi="ar-SA"/>
        </w:rPr>
        <w:t xml:space="preserve">іальної, сімейної політики та охорони здоров’я опрацьовано </w:t>
      </w:r>
      <w:r>
        <w:rPr>
          <w:rFonts w:eastAsia="Times New Roman" w:cs="Times New Roman"/>
          <w:b/>
          <w:bCs/>
          <w:color w:val="000000"/>
          <w:sz w:val="28"/>
          <w:szCs w:val="28"/>
          <w:u w:val="single"/>
          <w:lang w:val="uk-UA" w:eastAsia="ru-RU" w:bidi="ar-SA"/>
        </w:rPr>
        <w:t>7860</w:t>
      </w:r>
      <w:r>
        <w:rPr>
          <w:rFonts w:eastAsia="Times New Roman" w:cs="Times New Roman"/>
          <w:b/>
          <w:bCs/>
          <w:color w:val="800000"/>
          <w:sz w:val="28"/>
          <w:szCs w:val="28"/>
          <w:u w:val="single"/>
          <w:lang w:val="uk-UA" w:eastAsia="ru-RU" w:bidi="ar-SA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 xml:space="preserve">документів, з них : </w:t>
      </w:r>
    </w:p>
    <w:p w:rsidR="007219ED" w:rsidRPr="00E4287F" w:rsidRDefault="00E4287F">
      <w:pPr>
        <w:widowControl/>
        <w:spacing w:before="278"/>
        <w:ind w:firstLine="709"/>
        <w:jc w:val="both"/>
        <w:rPr>
          <w:lang w:val="ru-RU"/>
        </w:rPr>
      </w:pPr>
      <w:r>
        <w:rPr>
          <w:rFonts w:eastAsia="Times New Roman" w:cs="Times New Roman"/>
          <w:b/>
          <w:sz w:val="28"/>
          <w:szCs w:val="28"/>
          <w:u w:val="single"/>
          <w:lang w:val="ru-RU" w:eastAsia="ru-RU" w:bidi="ar-SA"/>
        </w:rPr>
        <w:t>___</w:t>
      </w:r>
      <w:r>
        <w:rPr>
          <w:rFonts w:eastAsia="Times New Roman" w:cs="Times New Roman"/>
          <w:b/>
          <w:sz w:val="28"/>
          <w:szCs w:val="28"/>
          <w:u w:val="single"/>
          <w:lang w:val="uk-UA" w:eastAsia="ru-RU" w:bidi="ar-SA"/>
        </w:rPr>
        <w:t>3447</w:t>
      </w:r>
      <w:r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 xml:space="preserve"> вхідної кореспонденції</w:t>
      </w:r>
      <w:proofErr w:type="gramStart"/>
      <w:r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 xml:space="preserve"> ,</w:t>
      </w:r>
      <w:proofErr w:type="gramEnd"/>
      <w:r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 xml:space="preserve"> в тому числі : </w:t>
      </w:r>
    </w:p>
    <w:p w:rsidR="007219ED" w:rsidRPr="00E4287F" w:rsidRDefault="00E4287F">
      <w:pPr>
        <w:widowControl/>
        <w:ind w:firstLine="706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57 – документів вищих органів влади ( в т.ч. 5 постанов КМУ)</w:t>
      </w:r>
    </w:p>
    <w:p w:rsidR="007219ED" w:rsidRPr="00E4287F" w:rsidRDefault="00E4287F">
      <w:pPr>
        <w:widowControl/>
        <w:ind w:firstLine="706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 xml:space="preserve">21 – листування з </w:t>
      </w:r>
      <w:proofErr w:type="spellStart"/>
      <w:r>
        <w:rPr>
          <w:rFonts w:eastAsia="Times New Roman" w:cs="Times New Roman"/>
          <w:sz w:val="28"/>
          <w:szCs w:val="28"/>
          <w:lang w:val="uk-UA" w:eastAsia="ru-RU" w:bidi="ar-SA"/>
        </w:rPr>
        <w:t>Мінсоцполітики</w:t>
      </w:r>
      <w:proofErr w:type="spellEnd"/>
    </w:p>
    <w:p w:rsidR="007219ED" w:rsidRPr="00E4287F" w:rsidRDefault="00E4287F">
      <w:pPr>
        <w:widowControl/>
        <w:ind w:firstLine="706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16 – розпорядження, рішення Одеської ОДА</w:t>
      </w:r>
    </w:p>
    <w:p w:rsidR="007219ED" w:rsidRPr="00E4287F" w:rsidRDefault="00E4287F">
      <w:pPr>
        <w:widowControl/>
        <w:ind w:firstLine="706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59 – листування з Одеською ОДА та її структурними підрозділами</w:t>
      </w:r>
    </w:p>
    <w:p w:rsidR="007219ED" w:rsidRPr="00E4287F" w:rsidRDefault="00E4287F">
      <w:pPr>
        <w:widowControl/>
        <w:ind w:firstLine="706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131 - розпорядження міського голови</w:t>
      </w:r>
    </w:p>
    <w:p w:rsidR="007219ED" w:rsidRPr="00E4287F" w:rsidRDefault="00E4287F">
      <w:pPr>
        <w:widowControl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 xml:space="preserve">          28 – рішення виконавчого комітету</w:t>
      </w:r>
    </w:p>
    <w:p w:rsidR="007219ED" w:rsidRDefault="00E4287F">
      <w:pPr>
        <w:widowControl/>
        <w:ind w:firstLine="706"/>
        <w:jc w:val="both"/>
        <w:rPr>
          <w:rFonts w:eastAsia="Times New Roman" w:cs="Times New Roman"/>
          <w:sz w:val="28"/>
          <w:szCs w:val="28"/>
          <w:lang w:val="uk-UA" w:eastAsia="ru-RU" w:bidi="ar-SA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8 – рішення сесії міської ради</w:t>
      </w:r>
    </w:p>
    <w:p w:rsidR="007219ED" w:rsidRPr="00E4287F" w:rsidRDefault="00E4287F">
      <w:pPr>
        <w:widowControl/>
        <w:ind w:firstLine="706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454 – листування з Департа</w:t>
      </w:r>
      <w:r>
        <w:rPr>
          <w:rFonts w:eastAsia="Times New Roman" w:cs="Times New Roman"/>
          <w:sz w:val="28"/>
          <w:szCs w:val="28"/>
          <w:lang w:val="uk-UA" w:eastAsia="ru-RU" w:bidi="ar-SA"/>
        </w:rPr>
        <w:t>ментом соціальної та сімейної політики ОДА</w:t>
      </w:r>
    </w:p>
    <w:p w:rsidR="007219ED" w:rsidRPr="00E4287F" w:rsidRDefault="00E4287F">
      <w:pPr>
        <w:widowControl/>
        <w:ind w:firstLine="706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228 – листування з управліннями соціального захисту населення</w:t>
      </w:r>
    </w:p>
    <w:p w:rsidR="007219ED" w:rsidRPr="00E4287F" w:rsidRDefault="00E4287F">
      <w:pPr>
        <w:widowControl/>
        <w:ind w:firstLine="706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97 – листування з виконкомом та його структурними підрозділами</w:t>
      </w:r>
    </w:p>
    <w:p w:rsidR="007219ED" w:rsidRPr="00E4287F" w:rsidRDefault="00E4287F">
      <w:pPr>
        <w:widowControl/>
        <w:ind w:firstLine="706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1773- листування з організаціями та установами з питань діяльності управління</w:t>
      </w:r>
    </w:p>
    <w:p w:rsidR="007219ED" w:rsidRPr="00E4287F" w:rsidRDefault="00E4287F">
      <w:pPr>
        <w:widowControl/>
        <w:jc w:val="both"/>
        <w:rPr>
          <w:lang w:val="ru-RU"/>
        </w:rPr>
      </w:pPr>
      <w:r>
        <w:rPr>
          <w:rFonts w:eastAsia="Times New Roman" w:cs="Times New Roman"/>
          <w:bCs/>
          <w:sz w:val="28"/>
          <w:szCs w:val="28"/>
          <w:lang w:val="uk-UA" w:eastAsia="ru-RU" w:bidi="ar-SA"/>
        </w:rPr>
        <w:t xml:space="preserve">          </w:t>
      </w:r>
      <w:r>
        <w:rPr>
          <w:rFonts w:eastAsia="Times New Roman" w:cs="Times New Roman"/>
          <w:bCs/>
          <w:color w:val="800000"/>
          <w:sz w:val="28"/>
          <w:szCs w:val="28"/>
          <w:lang w:val="uk-UA" w:eastAsia="ru-RU" w:bidi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val="uk-UA" w:eastAsia="ru-RU" w:bidi="ar-SA"/>
        </w:rPr>
        <w:t xml:space="preserve">571 </w:t>
      </w:r>
      <w:r>
        <w:rPr>
          <w:rFonts w:eastAsia="Times New Roman" w:cs="Times New Roman"/>
          <w:bCs/>
          <w:sz w:val="28"/>
          <w:szCs w:val="28"/>
          <w:lang w:val="uk-UA" w:eastAsia="ru-RU" w:bidi="ar-SA"/>
        </w:rPr>
        <w:t>– вхідна кореспонденція служби у справах дітей</w:t>
      </w:r>
    </w:p>
    <w:p w:rsidR="007219ED" w:rsidRPr="00E4287F" w:rsidRDefault="00E4287F">
      <w:pPr>
        <w:widowControl/>
        <w:ind w:firstLine="706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 xml:space="preserve"> 4- запит на публічну інформацію</w:t>
      </w:r>
    </w:p>
    <w:p w:rsidR="007219ED" w:rsidRPr="00E4287F" w:rsidRDefault="00E4287F">
      <w:pPr>
        <w:widowControl/>
        <w:jc w:val="both"/>
        <w:rPr>
          <w:lang w:val="ru-RU"/>
        </w:rPr>
      </w:pPr>
      <w:r>
        <w:rPr>
          <w:rFonts w:eastAsia="Times New Roman" w:cs="Times New Roman"/>
          <w:bCs/>
          <w:sz w:val="28"/>
          <w:szCs w:val="28"/>
          <w:lang w:val="uk-UA" w:eastAsia="ru-RU" w:bidi="ar-SA"/>
        </w:rPr>
        <w:t xml:space="preserve">               </w:t>
      </w:r>
      <w:r>
        <w:rPr>
          <w:rFonts w:eastAsia="Times New Roman" w:cs="Times New Roman"/>
          <w:b/>
          <w:bCs/>
          <w:sz w:val="28"/>
          <w:szCs w:val="28"/>
          <w:lang w:val="uk-UA" w:eastAsia="ru-RU" w:bidi="ar-SA"/>
        </w:rPr>
        <w:t>3351</w:t>
      </w:r>
      <w:r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 xml:space="preserve"> - вихідних документів </w:t>
      </w:r>
      <w:r>
        <w:rPr>
          <w:rFonts w:eastAsia="Times New Roman" w:cs="Times New Roman"/>
          <w:bCs/>
          <w:sz w:val="20"/>
          <w:szCs w:val="20"/>
          <w:lang w:val="uk-UA" w:eastAsia="ru-RU" w:bidi="ar-SA"/>
        </w:rPr>
        <w:t xml:space="preserve">( в </w:t>
      </w:r>
      <w:proofErr w:type="spellStart"/>
      <w:r>
        <w:rPr>
          <w:rFonts w:eastAsia="Times New Roman" w:cs="Times New Roman"/>
          <w:bCs/>
          <w:sz w:val="20"/>
          <w:szCs w:val="20"/>
          <w:lang w:val="uk-UA" w:eastAsia="ru-RU" w:bidi="ar-SA"/>
        </w:rPr>
        <w:t>т.ч</w:t>
      </w:r>
      <w:proofErr w:type="spellEnd"/>
      <w:r>
        <w:rPr>
          <w:rFonts w:eastAsia="Times New Roman" w:cs="Times New Roman"/>
          <w:bCs/>
          <w:sz w:val="20"/>
          <w:szCs w:val="20"/>
          <w:lang w:val="uk-UA" w:eastAsia="ru-RU" w:bidi="ar-SA"/>
        </w:rPr>
        <w:t xml:space="preserve"> 861</w:t>
      </w:r>
      <w:r>
        <w:rPr>
          <w:rFonts w:eastAsia="Times New Roman" w:cs="Times New Roman"/>
          <w:bCs/>
          <w:color w:val="000000"/>
          <w:sz w:val="20"/>
          <w:szCs w:val="20"/>
          <w:lang w:val="uk-UA" w:eastAsia="ru-RU" w:bidi="ar-SA"/>
        </w:rPr>
        <w:t xml:space="preserve"> до</w:t>
      </w:r>
      <w:r>
        <w:rPr>
          <w:rFonts w:eastAsia="Times New Roman" w:cs="Times New Roman"/>
          <w:bCs/>
          <w:sz w:val="20"/>
          <w:szCs w:val="20"/>
          <w:lang w:val="uk-UA" w:eastAsia="ru-RU" w:bidi="ar-SA"/>
        </w:rPr>
        <w:t>кументи служби у справах дітей)</w:t>
      </w:r>
    </w:p>
    <w:p w:rsidR="007219ED" w:rsidRDefault="00E4287F">
      <w:pPr>
        <w:widowControl/>
        <w:ind w:firstLine="706"/>
        <w:jc w:val="both"/>
        <w:rPr>
          <w:rFonts w:eastAsia="Times New Roman" w:cs="Times New Roman"/>
          <w:lang w:val="uk-UA" w:eastAsia="ru-RU" w:bidi="ar-SA"/>
        </w:rPr>
      </w:pPr>
      <w:r>
        <w:rPr>
          <w:rFonts w:eastAsia="Times New Roman" w:cs="Times New Roman"/>
          <w:color w:val="000000"/>
          <w:sz w:val="28"/>
          <w:szCs w:val="28"/>
          <w:lang w:val="uk-UA" w:eastAsia="ru-RU" w:bidi="ar-SA"/>
        </w:rPr>
        <w:t xml:space="preserve">За 6 місяців 2021 року до департаменту соціальної, сімейної політики та охорони </w:t>
      </w:r>
      <w:r>
        <w:rPr>
          <w:rFonts w:eastAsia="Times New Roman" w:cs="Times New Roman"/>
          <w:color w:val="000000"/>
          <w:sz w:val="28"/>
          <w:szCs w:val="28"/>
          <w:lang w:val="uk-UA" w:eastAsia="ru-RU" w:bidi="ar-SA"/>
        </w:rPr>
        <w:t xml:space="preserve">здоров’я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uk-UA" w:eastAsia="ru-RU" w:bidi="ar-SA"/>
        </w:rPr>
        <w:t>Білгород-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uk-UA" w:eastAsia="ru-RU" w:bidi="ar-SA"/>
        </w:rPr>
        <w:t xml:space="preserve"> Дністровської міської ради надійшло 1062</w:t>
      </w:r>
      <w:r>
        <w:rPr>
          <w:rFonts w:eastAsia="Times New Roman" w:cs="Times New Roman"/>
          <w:b/>
          <w:bCs/>
          <w:color w:val="800000"/>
          <w:sz w:val="28"/>
          <w:szCs w:val="28"/>
          <w:u w:val="single"/>
          <w:lang w:val="uk-UA" w:eastAsia="ru-RU" w:bidi="ar-SA"/>
        </w:rPr>
        <w:t xml:space="preserve"> </w:t>
      </w:r>
      <w:r>
        <w:rPr>
          <w:rFonts w:eastAsia="Times New Roman" w:cs="Times New Roman"/>
          <w:b/>
          <w:bCs/>
          <w:color w:val="000000"/>
          <w:sz w:val="28"/>
          <w:szCs w:val="28"/>
          <w:u w:val="single"/>
          <w:lang w:val="uk-UA" w:eastAsia="ru-RU" w:bidi="ar-SA"/>
        </w:rPr>
        <w:t xml:space="preserve">звернення від громадян </w:t>
      </w:r>
    </w:p>
    <w:p w:rsidR="007219ED" w:rsidRPr="00E4287F" w:rsidRDefault="00E4287F">
      <w:pPr>
        <w:widowControl/>
        <w:jc w:val="center"/>
        <w:rPr>
          <w:lang w:val="ru-RU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  <w:t>Аналіз документообігу в управлінні за 6 місяців 2017-2021 рр.</w:t>
      </w:r>
    </w:p>
    <w:p w:rsidR="007219ED" w:rsidRDefault="00E4287F">
      <w:pPr>
        <w:widowControl/>
        <w:jc w:val="center"/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611620" cy="3334385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219ED" w:rsidRDefault="007219ED">
      <w:pPr>
        <w:widowControl/>
        <w:jc w:val="center"/>
        <w:rPr>
          <w:rFonts w:eastAsia="Times New Roman" w:cs="Times New Roman"/>
          <w:b/>
          <w:bCs/>
          <w:sz w:val="28"/>
          <w:szCs w:val="28"/>
          <w:u w:val="single"/>
          <w:lang w:val="uk-UA" w:eastAsia="ru-RU" w:bidi="ar-SA"/>
        </w:rPr>
      </w:pPr>
    </w:p>
    <w:p w:rsidR="007219ED" w:rsidRPr="00E4287F" w:rsidRDefault="00E4287F">
      <w:pPr>
        <w:widowControl/>
        <w:ind w:firstLine="709"/>
        <w:jc w:val="both"/>
        <w:rPr>
          <w:lang w:val="uk-UA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lastRenderedPageBreak/>
        <w:t xml:space="preserve">Департаменту соціальної, сімейної політики та охорони здоров’я пересланих від виконавчого комітету міської </w:t>
      </w:r>
      <w:r>
        <w:rPr>
          <w:rFonts w:eastAsia="Times New Roman" w:cs="Times New Roman"/>
          <w:sz w:val="28"/>
          <w:szCs w:val="28"/>
          <w:lang w:val="uk-UA" w:eastAsia="ru-RU" w:bidi="ar-SA"/>
        </w:rPr>
        <w:t>ради  та інших органів влади для розгляду протягом 6 місяців 2021 року надійшло 434 звернення, з них :</w:t>
      </w:r>
    </w:p>
    <w:p w:rsidR="007219ED" w:rsidRPr="00E4287F" w:rsidRDefault="00E4287F">
      <w:pPr>
        <w:widowControl/>
        <w:ind w:firstLine="709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220 звернень громадян з виконавчого комітету</w:t>
      </w:r>
    </w:p>
    <w:p w:rsidR="007219ED" w:rsidRPr="00E4287F" w:rsidRDefault="00E4287F">
      <w:pPr>
        <w:widowControl/>
        <w:ind w:firstLine="709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2 звернення з Адміністрації Президента України</w:t>
      </w:r>
    </w:p>
    <w:p w:rsidR="007219ED" w:rsidRPr="00E4287F" w:rsidRDefault="00E4287F">
      <w:pPr>
        <w:widowControl/>
        <w:ind w:firstLine="709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 xml:space="preserve">185 звернень громадян на Урядову гарячу лінію </w:t>
      </w:r>
    </w:p>
    <w:p w:rsidR="007219ED" w:rsidRPr="00E4287F" w:rsidRDefault="00E4287F">
      <w:pPr>
        <w:widowControl/>
        <w:ind w:firstLine="709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 xml:space="preserve">27 звернень до контактного центру Б-Дністровської міської ради. </w:t>
      </w:r>
    </w:p>
    <w:p w:rsidR="007219ED" w:rsidRPr="00E4287F" w:rsidRDefault="00E4287F">
      <w:pPr>
        <w:widowControl/>
        <w:spacing w:before="240"/>
        <w:ind w:firstLine="709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uk-UA" w:eastAsia="ru-RU" w:bidi="ar-SA"/>
        </w:rPr>
        <w:t>З вищенаведеного аналізу видно, що за у 2021 році відбувається тенденція збільшення звернень громадян на Урядову гарячу лінію та органів влади та збільшення кількості листів від установ та ор</w:t>
      </w:r>
      <w:r>
        <w:rPr>
          <w:rFonts w:eastAsia="Times New Roman" w:cs="Times New Roman"/>
          <w:sz w:val="28"/>
          <w:szCs w:val="28"/>
          <w:lang w:val="uk-UA" w:eastAsia="ru-RU" w:bidi="ar-SA"/>
        </w:rPr>
        <w:t>ганізацій, у зв’язку з тим, що до складу Департаменту увійшли управління охорони здоров’я та служба у справах дітей та розширено перелік повноважень департаменту. Фахівцями департаменту постійно проводяться на місцях та в телефону режимі роз’яснювальна роб</w:t>
      </w:r>
      <w:r>
        <w:rPr>
          <w:rFonts w:eastAsia="Times New Roman" w:cs="Times New Roman"/>
          <w:sz w:val="28"/>
          <w:szCs w:val="28"/>
          <w:lang w:val="uk-UA" w:eastAsia="ru-RU" w:bidi="ar-SA"/>
        </w:rPr>
        <w:t>ота.</w:t>
      </w:r>
    </w:p>
    <w:p w:rsidR="007219ED" w:rsidRDefault="00E4287F">
      <w:pPr>
        <w:widowControl/>
        <w:spacing w:before="240"/>
        <w:ind w:firstLine="709"/>
        <w:jc w:val="both"/>
        <w:rPr>
          <w:rFonts w:eastAsia="Times New Roman" w:cs="Times New Roman"/>
          <w:sz w:val="12"/>
          <w:szCs w:val="12"/>
          <w:lang w:val="uk-UA" w:eastAsia="ru-RU" w:bidi="ar-SA"/>
        </w:rPr>
      </w:pPr>
      <w:r>
        <w:rPr>
          <w:rFonts w:eastAsia="Times New Roman" w:cs="Times New Roman"/>
          <w:sz w:val="12"/>
          <w:szCs w:val="12"/>
          <w:lang w:val="uk-UA" w:eastAsia="ru-RU" w:bidi="ar-SA"/>
        </w:rPr>
        <w:t xml:space="preserve"> </w:t>
      </w:r>
    </w:p>
    <w:p w:rsidR="007219ED" w:rsidRPr="00E4287F" w:rsidRDefault="00E4287F">
      <w:pPr>
        <w:ind w:firstLine="709"/>
        <w:jc w:val="both"/>
        <w:rPr>
          <w:lang w:val="ru-RU"/>
        </w:rPr>
      </w:pPr>
      <w:r>
        <w:rPr>
          <w:sz w:val="28"/>
          <w:szCs w:val="28"/>
          <w:lang w:val="uk-UA"/>
        </w:rPr>
        <w:t xml:space="preserve">За підсумками аналізу надходження звернень громадян встановлено, що  протягом 6 місяців 2021 році до департаменту надійшло 17 колективних звернень.  Повторні,  неодноразові, дублетні звернення від громадян міста за звітний період не надходили. </w:t>
      </w:r>
    </w:p>
    <w:p w:rsidR="007219ED" w:rsidRDefault="007219ED">
      <w:pPr>
        <w:ind w:firstLine="709"/>
        <w:jc w:val="both"/>
        <w:rPr>
          <w:sz w:val="28"/>
          <w:szCs w:val="28"/>
          <w:lang w:val="uk-UA"/>
        </w:rPr>
      </w:pPr>
    </w:p>
    <w:p w:rsidR="007219ED" w:rsidRPr="00E4287F" w:rsidRDefault="00E4287F">
      <w:pPr>
        <w:tabs>
          <w:tab w:val="left" w:pos="5529"/>
        </w:tabs>
        <w:ind w:firstLine="709"/>
        <w:jc w:val="both"/>
        <w:rPr>
          <w:color w:val="000000"/>
          <w:lang w:val="ru-RU"/>
        </w:rPr>
      </w:pPr>
      <w:r>
        <w:rPr>
          <w:color w:val="000000"/>
          <w:sz w:val="28"/>
          <w:szCs w:val="28"/>
          <w:lang w:val="uk-UA"/>
        </w:rPr>
        <w:t>Най</w:t>
      </w:r>
      <w:r>
        <w:rPr>
          <w:color w:val="000000"/>
          <w:sz w:val="28"/>
          <w:szCs w:val="28"/>
          <w:lang w:val="uk-UA"/>
        </w:rPr>
        <w:t xml:space="preserve">більшу частку усіх звернень —23%,  становлять питання нарахування та виплати пільг, 15%  становлять звернення щодо перерахунку та виплати допомоги до 5 травня, 13 % </w:t>
      </w:r>
      <w:proofErr w:type="spellStart"/>
      <w:r>
        <w:rPr>
          <w:color w:val="000000"/>
          <w:sz w:val="28"/>
          <w:szCs w:val="28"/>
          <w:lang w:val="uk-UA"/>
        </w:rPr>
        <w:t>-питання</w:t>
      </w:r>
      <w:proofErr w:type="spellEnd"/>
      <w:r>
        <w:rPr>
          <w:color w:val="000000"/>
          <w:sz w:val="28"/>
          <w:szCs w:val="28"/>
          <w:lang w:val="uk-UA"/>
        </w:rPr>
        <w:t xml:space="preserve"> надання матеріальної допомоги. </w:t>
      </w:r>
    </w:p>
    <w:p w:rsidR="007219ED" w:rsidRPr="00E4287F" w:rsidRDefault="00E4287F">
      <w:pPr>
        <w:tabs>
          <w:tab w:val="left" w:pos="5529"/>
        </w:tabs>
        <w:ind w:firstLine="709"/>
        <w:jc w:val="center"/>
        <w:rPr>
          <w:lang w:val="ru-RU"/>
        </w:rPr>
      </w:pPr>
      <w:r>
        <w:rPr>
          <w:i/>
          <w:sz w:val="28"/>
          <w:szCs w:val="28"/>
          <w:u w:val="single"/>
          <w:lang w:val="uk-UA"/>
        </w:rPr>
        <w:t>Питання, які порушувались у зверненнях громадян за</w:t>
      </w:r>
      <w:r>
        <w:rPr>
          <w:i/>
          <w:sz w:val="28"/>
          <w:szCs w:val="28"/>
          <w:u w:val="single"/>
          <w:lang w:val="uk-UA"/>
        </w:rPr>
        <w:t xml:space="preserve"> 6 місяців 2021 року</w:t>
      </w:r>
    </w:p>
    <w:p w:rsidR="007219ED" w:rsidRDefault="007219ED">
      <w:pPr>
        <w:tabs>
          <w:tab w:val="left" w:pos="5529"/>
        </w:tabs>
        <w:ind w:firstLine="709"/>
        <w:jc w:val="center"/>
        <w:rPr>
          <w:i/>
          <w:sz w:val="28"/>
          <w:szCs w:val="28"/>
          <w:u w:val="single"/>
          <w:lang w:val="uk-UA"/>
        </w:rPr>
      </w:pPr>
    </w:p>
    <w:p w:rsidR="007219ED" w:rsidRDefault="00E4287F">
      <w:pPr>
        <w:tabs>
          <w:tab w:val="left" w:pos="5529"/>
        </w:tabs>
        <w:ind w:firstLine="709"/>
        <w:jc w:val="center"/>
        <w:rPr>
          <w:i/>
          <w:sz w:val="28"/>
          <w:szCs w:val="28"/>
          <w:u w:val="single"/>
          <w:lang w:val="uk-U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944995" cy="3472815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219ED" w:rsidRPr="00E4287F" w:rsidRDefault="00E4287F">
      <w:pPr>
        <w:pStyle w:val="a7"/>
        <w:ind w:firstLine="645"/>
        <w:rPr>
          <w:lang w:val="ru-RU"/>
        </w:rPr>
      </w:pPr>
      <w:proofErr w:type="spellStart"/>
      <w:r>
        <w:rPr>
          <w:sz w:val="28"/>
          <w:szCs w:val="28"/>
          <w:lang w:val="ru-RU"/>
        </w:rPr>
        <w:t>Протягом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місяців</w:t>
      </w:r>
      <w:proofErr w:type="spellEnd"/>
      <w:r>
        <w:rPr>
          <w:sz w:val="28"/>
          <w:szCs w:val="28"/>
          <w:lang w:val="ru-RU"/>
        </w:rPr>
        <w:t xml:space="preserve"> 2021 року до департаменту </w:t>
      </w:r>
      <w:proofErr w:type="spellStart"/>
      <w:r>
        <w:rPr>
          <w:sz w:val="28"/>
          <w:szCs w:val="28"/>
          <w:lang w:val="ru-RU"/>
        </w:rPr>
        <w:t>надійшло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619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звернень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ільгових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категорій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громадян</w:t>
      </w:r>
      <w:proofErr w:type="spellEnd"/>
      <w:r>
        <w:rPr>
          <w:sz w:val="28"/>
          <w:szCs w:val="28"/>
          <w:lang w:val="ru-RU"/>
        </w:rPr>
        <w:t xml:space="preserve"> :</w:t>
      </w:r>
    </w:p>
    <w:p w:rsidR="007219ED" w:rsidRDefault="00E4287F">
      <w:pPr>
        <w:numPr>
          <w:ilvl w:val="0"/>
          <w:numId w:val="1"/>
        </w:numPr>
        <w:ind w:left="1211"/>
        <w:jc w:val="both"/>
      </w:pPr>
      <w:r>
        <w:rPr>
          <w:sz w:val="28"/>
          <w:szCs w:val="28"/>
          <w:lang w:val="uk-UA"/>
        </w:rPr>
        <w:lastRenderedPageBreak/>
        <w:t>учасників війни – 4</w:t>
      </w:r>
    </w:p>
    <w:p w:rsidR="007219ED" w:rsidRDefault="00E4287F">
      <w:pPr>
        <w:numPr>
          <w:ilvl w:val="0"/>
          <w:numId w:val="1"/>
        </w:numPr>
        <w:ind w:left="1211"/>
        <w:jc w:val="both"/>
      </w:pPr>
      <w:r>
        <w:rPr>
          <w:sz w:val="28"/>
          <w:szCs w:val="28"/>
          <w:lang w:val="uk-UA"/>
        </w:rPr>
        <w:t>дітей війни - 2</w:t>
      </w:r>
    </w:p>
    <w:p w:rsidR="007219ED" w:rsidRDefault="00E4287F">
      <w:pPr>
        <w:pStyle w:val="31"/>
        <w:numPr>
          <w:ilvl w:val="0"/>
          <w:numId w:val="1"/>
        </w:numPr>
        <w:ind w:left="1211"/>
      </w:pPr>
      <w:r>
        <w:rPr>
          <w:szCs w:val="28"/>
        </w:rPr>
        <w:t>інвалідів війни – 20</w:t>
      </w:r>
    </w:p>
    <w:p w:rsidR="007219ED" w:rsidRDefault="00E4287F">
      <w:pPr>
        <w:pStyle w:val="31"/>
        <w:numPr>
          <w:ilvl w:val="0"/>
          <w:numId w:val="1"/>
        </w:numPr>
        <w:ind w:left="1211"/>
      </w:pPr>
      <w:r>
        <w:rPr>
          <w:szCs w:val="28"/>
        </w:rPr>
        <w:t>учасників бойових дій – 259</w:t>
      </w:r>
    </w:p>
    <w:p w:rsidR="007219ED" w:rsidRDefault="00E4287F">
      <w:pPr>
        <w:pStyle w:val="31"/>
        <w:numPr>
          <w:ilvl w:val="0"/>
          <w:numId w:val="1"/>
        </w:numPr>
        <w:ind w:left="1211"/>
        <w:rPr>
          <w:szCs w:val="28"/>
        </w:rPr>
      </w:pPr>
      <w:r>
        <w:rPr>
          <w:szCs w:val="28"/>
        </w:rPr>
        <w:t>ветеранів праці – 0</w:t>
      </w:r>
    </w:p>
    <w:p w:rsidR="007219ED" w:rsidRDefault="00E4287F">
      <w:pPr>
        <w:pStyle w:val="31"/>
        <w:numPr>
          <w:ilvl w:val="0"/>
          <w:numId w:val="1"/>
        </w:numPr>
        <w:ind w:left="1211"/>
      </w:pPr>
      <w:r>
        <w:rPr>
          <w:szCs w:val="28"/>
        </w:rPr>
        <w:t xml:space="preserve">осіб з інвалідністю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>
        <w:rPr>
          <w:szCs w:val="28"/>
          <w:lang w:val="en-US"/>
        </w:rPr>
        <w:t>III</w:t>
      </w:r>
      <w:r>
        <w:rPr>
          <w:szCs w:val="28"/>
        </w:rPr>
        <w:t xml:space="preserve"> групи – 157</w:t>
      </w:r>
    </w:p>
    <w:p w:rsidR="007219ED" w:rsidRDefault="00E4287F">
      <w:pPr>
        <w:pStyle w:val="31"/>
        <w:numPr>
          <w:ilvl w:val="0"/>
          <w:numId w:val="1"/>
        </w:numPr>
        <w:ind w:left="1211"/>
      </w:pPr>
      <w:r>
        <w:rPr>
          <w:szCs w:val="28"/>
        </w:rPr>
        <w:t xml:space="preserve">одиноких матерів - </w:t>
      </w:r>
      <w:r>
        <w:rPr>
          <w:szCs w:val="28"/>
        </w:rPr>
        <w:t>28</w:t>
      </w:r>
    </w:p>
    <w:p w:rsidR="007219ED" w:rsidRDefault="00E4287F">
      <w:pPr>
        <w:pStyle w:val="31"/>
        <w:numPr>
          <w:ilvl w:val="0"/>
          <w:numId w:val="1"/>
        </w:numPr>
        <w:ind w:left="1211"/>
        <w:rPr>
          <w:szCs w:val="28"/>
        </w:rPr>
      </w:pPr>
      <w:r>
        <w:rPr>
          <w:szCs w:val="28"/>
        </w:rPr>
        <w:t xml:space="preserve"> від «Матерів  – героїнь» – 0</w:t>
      </w:r>
    </w:p>
    <w:p w:rsidR="007219ED" w:rsidRDefault="00E4287F">
      <w:pPr>
        <w:pStyle w:val="31"/>
        <w:numPr>
          <w:ilvl w:val="0"/>
          <w:numId w:val="1"/>
        </w:numPr>
        <w:ind w:left="1211"/>
      </w:pPr>
      <w:r>
        <w:rPr>
          <w:szCs w:val="28"/>
        </w:rPr>
        <w:t xml:space="preserve">учасників ліквідації аварії на ЧАЕС та постраждалих осіб від аварії на ЧАЕС– </w:t>
      </w:r>
      <w:r>
        <w:rPr>
          <w:szCs w:val="28"/>
        </w:rPr>
        <w:t>24</w:t>
      </w:r>
    </w:p>
    <w:p w:rsidR="007219ED" w:rsidRDefault="00E4287F">
      <w:pPr>
        <w:pStyle w:val="31"/>
        <w:numPr>
          <w:ilvl w:val="0"/>
          <w:numId w:val="1"/>
        </w:numPr>
        <w:ind w:left="1211"/>
      </w:pPr>
      <w:r>
        <w:rPr>
          <w:szCs w:val="28"/>
        </w:rPr>
        <w:t>від сімей, які мають дітей з інвалідністю – 29</w:t>
      </w:r>
    </w:p>
    <w:p w:rsidR="007219ED" w:rsidRDefault="00E4287F">
      <w:pPr>
        <w:pStyle w:val="31"/>
        <w:numPr>
          <w:ilvl w:val="0"/>
          <w:numId w:val="1"/>
        </w:numPr>
        <w:ind w:left="1211"/>
      </w:pPr>
      <w:r>
        <w:rPr>
          <w:szCs w:val="28"/>
        </w:rPr>
        <w:t>багатодітних сімей — 52</w:t>
      </w:r>
    </w:p>
    <w:p w:rsidR="007219ED" w:rsidRDefault="00E4287F">
      <w:pPr>
        <w:pStyle w:val="31"/>
        <w:numPr>
          <w:ilvl w:val="0"/>
          <w:numId w:val="1"/>
        </w:numPr>
        <w:ind w:left="1211"/>
      </w:pPr>
      <w:r>
        <w:rPr>
          <w:szCs w:val="28"/>
        </w:rPr>
        <w:t>інші пільгові категорії -44.</w:t>
      </w:r>
    </w:p>
    <w:p w:rsidR="007219ED" w:rsidRDefault="007219ED">
      <w:pPr>
        <w:pStyle w:val="31"/>
        <w:ind w:left="1211" w:hanging="360"/>
        <w:rPr>
          <w:szCs w:val="28"/>
        </w:rPr>
      </w:pPr>
    </w:p>
    <w:p w:rsidR="007219ED" w:rsidRDefault="00E4287F">
      <w:pPr>
        <w:pStyle w:val="31"/>
        <w:ind w:left="645" w:firstLine="0"/>
      </w:pPr>
      <w:r>
        <w:rPr>
          <w:szCs w:val="28"/>
        </w:rPr>
        <w:t>Найва</w:t>
      </w:r>
      <w:r>
        <w:rPr>
          <w:szCs w:val="28"/>
        </w:rPr>
        <w:t xml:space="preserve">гомішою часткою звернень від представників   пільгових   категорій </w:t>
      </w:r>
    </w:p>
    <w:p w:rsidR="007219ED" w:rsidRDefault="00E4287F">
      <w:pPr>
        <w:pStyle w:val="31"/>
        <w:ind w:firstLine="0"/>
      </w:pPr>
      <w:r>
        <w:rPr>
          <w:szCs w:val="28"/>
        </w:rPr>
        <w:t xml:space="preserve">громадян до департаменту є звернення від часників бойових дій 41,8 %, осіб з інвалідністю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>
        <w:rPr>
          <w:szCs w:val="28"/>
          <w:lang w:val="en-US"/>
        </w:rPr>
        <w:t>III</w:t>
      </w:r>
      <w:r>
        <w:rPr>
          <w:szCs w:val="28"/>
        </w:rPr>
        <w:t xml:space="preserve"> групи –25,4%, у, багатодітних сімей –8,4% та одиноких матерів –4,5 % .</w:t>
      </w:r>
    </w:p>
    <w:p w:rsidR="007219ED" w:rsidRDefault="007219ED">
      <w:pPr>
        <w:pStyle w:val="31"/>
        <w:ind w:firstLine="0"/>
        <w:rPr>
          <w:sz w:val="12"/>
          <w:szCs w:val="12"/>
        </w:rPr>
      </w:pPr>
    </w:p>
    <w:p w:rsidR="007219ED" w:rsidRDefault="00E4287F">
      <w:pPr>
        <w:ind w:left="64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Основні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питання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якими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звертаються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пенсіонери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ветерани</w:t>
      </w:r>
      <w:proofErr w:type="spellEnd"/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uk-UA"/>
        </w:rPr>
        <w:t xml:space="preserve"> особи з</w:t>
      </w:r>
    </w:p>
    <w:p w:rsidR="007219ED" w:rsidRDefault="00E428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інвалідністю, одинокі матері, багатодітні сім’ї - це питання надання матеріальної допомоги, надання пільг.</w:t>
      </w:r>
    </w:p>
    <w:p w:rsidR="007219ED" w:rsidRDefault="007219ED">
      <w:pPr>
        <w:jc w:val="both"/>
        <w:rPr>
          <w:sz w:val="12"/>
          <w:szCs w:val="12"/>
          <w:lang w:val="uk-UA"/>
        </w:rPr>
      </w:pPr>
    </w:p>
    <w:p w:rsidR="007219ED" w:rsidRPr="00E4287F" w:rsidRDefault="00E4287F">
      <w:pPr>
        <w:ind w:firstLine="709"/>
        <w:jc w:val="both"/>
        <w:rPr>
          <w:lang w:val="ru-RU"/>
        </w:rPr>
      </w:pPr>
      <w:r>
        <w:rPr>
          <w:sz w:val="28"/>
          <w:szCs w:val="28"/>
          <w:lang w:val="uk-UA"/>
        </w:rPr>
        <w:t>За результатами розгляду звернень, які надійшли за 6 місяців 2021 року - по 533 зверненням пита</w:t>
      </w:r>
      <w:r>
        <w:rPr>
          <w:sz w:val="28"/>
          <w:szCs w:val="28"/>
          <w:lang w:val="uk-UA"/>
        </w:rPr>
        <w:t>ння вирішені позитивно, що складає 50,2 % від загальної кількості звернень,  на 487 звернень (45,9%) надані роз’яснення, 10 звернень  (0,3%)  переслані до розгляду за територіальною належністю. Станом на 01.07.2021 року в департаменті на розгляді залишилос</w:t>
      </w:r>
      <w:r>
        <w:rPr>
          <w:sz w:val="28"/>
          <w:szCs w:val="28"/>
          <w:lang w:val="uk-UA"/>
        </w:rPr>
        <w:t xml:space="preserve">я 39 звернення. </w:t>
      </w:r>
    </w:p>
    <w:p w:rsidR="007219ED" w:rsidRDefault="007219ED">
      <w:pPr>
        <w:ind w:firstLine="709"/>
        <w:jc w:val="both"/>
        <w:rPr>
          <w:sz w:val="12"/>
          <w:szCs w:val="12"/>
          <w:lang w:val="uk-UA"/>
        </w:rPr>
      </w:pPr>
    </w:p>
    <w:p w:rsidR="007219ED" w:rsidRDefault="00E4287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карантинними обмеженнями особистий прийом громадян директором департаменту та його заступником не проводився, але на порталі міста та в засобах масової інформації постійно проводиться інформаційно-роз'яснювальна робота з питан</w:t>
      </w:r>
      <w:r>
        <w:rPr>
          <w:sz w:val="28"/>
          <w:szCs w:val="28"/>
          <w:lang w:val="uk-UA"/>
        </w:rPr>
        <w:t>ь соціального захисту населення.</w:t>
      </w:r>
    </w:p>
    <w:p w:rsidR="007219ED" w:rsidRDefault="007219ED">
      <w:pPr>
        <w:ind w:firstLine="709"/>
        <w:jc w:val="both"/>
        <w:rPr>
          <w:sz w:val="12"/>
          <w:szCs w:val="12"/>
          <w:lang w:val="uk-UA"/>
        </w:rPr>
      </w:pPr>
    </w:p>
    <w:p w:rsidR="007219ED" w:rsidRDefault="00E4287F">
      <w:pPr>
        <w:tabs>
          <w:tab w:val="left" w:pos="52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апаратних нарадах у директора департаменту систематично розглядаються питання про стан виконавської дисципліни та організації роботи зі зверненнями громадян, аналізуються та узагальнюються питання, що порушуються у звер</w:t>
      </w:r>
      <w:r>
        <w:rPr>
          <w:sz w:val="28"/>
          <w:szCs w:val="28"/>
          <w:lang w:val="uk-UA"/>
        </w:rPr>
        <w:t>неннях громадян, виявляються причини, що їх породжують та за результатами такого аналізу вносяться пропозиції щодо розв’язання найбільш актуальних проблем.</w:t>
      </w:r>
    </w:p>
    <w:p w:rsidR="007219ED" w:rsidRDefault="007219ED">
      <w:pPr>
        <w:tabs>
          <w:tab w:val="left" w:pos="5240"/>
        </w:tabs>
        <w:ind w:firstLine="709"/>
        <w:jc w:val="both"/>
        <w:rPr>
          <w:sz w:val="12"/>
          <w:szCs w:val="12"/>
          <w:lang w:val="uk-UA"/>
        </w:rPr>
      </w:pPr>
    </w:p>
    <w:p w:rsidR="007219ED" w:rsidRDefault="00E4287F">
      <w:pPr>
        <w:tabs>
          <w:tab w:val="left" w:pos="52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Начальниками відділів департаменту взято під особистий контроль розгляд звернень та забезпечення пр</w:t>
      </w:r>
      <w:r>
        <w:rPr>
          <w:sz w:val="28"/>
          <w:szCs w:val="28"/>
          <w:lang w:val="uk-UA"/>
        </w:rPr>
        <w:t xml:space="preserve">оведення першочергового особистого прийому інвалідів ВВВ, Героїв Соціалістичної Праці, Героїв Радянського Союзу, Героїв України та жінок, яким присвоєно почесне звання </w:t>
      </w:r>
      <w:proofErr w:type="spellStart"/>
      <w:r>
        <w:rPr>
          <w:sz w:val="28"/>
          <w:szCs w:val="28"/>
          <w:lang w:val="uk-UA"/>
        </w:rPr>
        <w:t>„Мати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героїня”</w:t>
      </w:r>
      <w:proofErr w:type="spellEnd"/>
      <w:r>
        <w:rPr>
          <w:sz w:val="28"/>
          <w:szCs w:val="28"/>
          <w:lang w:val="uk-UA"/>
        </w:rPr>
        <w:t>. Всі спеціалісти департаменту попереджені про персональну відповідальні</w:t>
      </w:r>
      <w:r>
        <w:rPr>
          <w:sz w:val="28"/>
          <w:szCs w:val="28"/>
          <w:lang w:val="uk-UA"/>
        </w:rPr>
        <w:t>сть за розгляд звернень громадян.</w:t>
      </w:r>
    </w:p>
    <w:p w:rsidR="007219ED" w:rsidRDefault="007219ED">
      <w:pPr>
        <w:tabs>
          <w:tab w:val="left" w:pos="5240"/>
        </w:tabs>
        <w:ind w:firstLine="709"/>
        <w:jc w:val="both"/>
        <w:rPr>
          <w:sz w:val="12"/>
          <w:szCs w:val="12"/>
          <w:lang w:val="uk-UA"/>
        </w:rPr>
      </w:pPr>
    </w:p>
    <w:p w:rsidR="007219ED" w:rsidRDefault="00E4287F">
      <w:pPr>
        <w:tabs>
          <w:tab w:val="left" w:pos="52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Особлива увага приділяється зверненням інвалідів, учасників антитерористичної операції, сім'ям учасників АТО та сім'ям загиблих учасників АТО, а також зверненням, які надходять до управління від внутрішньо переміщених </w:t>
      </w:r>
      <w:r>
        <w:rPr>
          <w:sz w:val="28"/>
          <w:szCs w:val="28"/>
          <w:lang w:val="uk-UA"/>
        </w:rPr>
        <w:t>осіб. Приділяється увага питанням поліпшення умов проживання та соціального забезпечення осіб з інвалідністю, забезпечення їх автотранспортом, як засобом протезування та забезпечення осіб з інвалідністю технічними засобами реабілітації.</w:t>
      </w:r>
    </w:p>
    <w:p w:rsidR="007219ED" w:rsidRDefault="007219ED">
      <w:pPr>
        <w:tabs>
          <w:tab w:val="left" w:pos="5240"/>
        </w:tabs>
        <w:ind w:firstLine="709"/>
        <w:jc w:val="both"/>
        <w:rPr>
          <w:sz w:val="12"/>
          <w:szCs w:val="12"/>
          <w:lang w:val="uk-UA"/>
        </w:rPr>
      </w:pPr>
    </w:p>
    <w:p w:rsidR="007219ED" w:rsidRPr="00E4287F" w:rsidRDefault="00E4287F" w:rsidP="00E4287F">
      <w:pPr>
        <w:pStyle w:val="a7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Питання роботи зі </w:t>
      </w:r>
      <w:r>
        <w:rPr>
          <w:sz w:val="28"/>
          <w:szCs w:val="28"/>
          <w:lang w:val="uk-UA"/>
        </w:rPr>
        <w:t xml:space="preserve">зверненнями громадян знаходиться на постійному контролі в департаменті соціальної, сімейної політики та охорони Білгород-Дністровської міської ради  ведеться відповідно до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звернення </w:t>
      </w:r>
      <w:proofErr w:type="spellStart"/>
      <w:r>
        <w:rPr>
          <w:sz w:val="28"/>
          <w:szCs w:val="28"/>
          <w:lang w:val="uk-UA"/>
        </w:rPr>
        <w:t>громадян”</w:t>
      </w:r>
      <w:proofErr w:type="spellEnd"/>
      <w:r>
        <w:rPr>
          <w:sz w:val="28"/>
          <w:szCs w:val="28"/>
          <w:lang w:val="uk-UA"/>
        </w:rPr>
        <w:t>, Указу Президента України від  07 лютого 200</w:t>
      </w:r>
      <w:r>
        <w:rPr>
          <w:sz w:val="28"/>
          <w:szCs w:val="28"/>
          <w:lang w:val="uk-UA"/>
        </w:rPr>
        <w:t>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Постанови Кабінету Міністрів від 24 вересня 2008 року № 858 «Про зат</w:t>
      </w:r>
      <w:r>
        <w:rPr>
          <w:sz w:val="28"/>
          <w:szCs w:val="28"/>
          <w:lang w:val="uk-UA"/>
        </w:rPr>
        <w:t>вердження класифікатора звернень громадян» та 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</w:t>
      </w:r>
      <w:r>
        <w:rPr>
          <w:sz w:val="28"/>
          <w:szCs w:val="28"/>
          <w:lang w:val="uk-UA"/>
        </w:rPr>
        <w:t>асової інформації, затвердженої постановою Кабінету Міністрів України від 14 квітня 1997 року № 348.</w:t>
      </w:r>
      <w:bookmarkStart w:id="0" w:name="_GoBack"/>
      <w:bookmarkEnd w:id="0"/>
    </w:p>
    <w:sectPr w:rsidR="007219ED" w:rsidRPr="00E4287F" w:rsidSect="007219ED">
      <w:pgSz w:w="11906" w:h="16838"/>
      <w:pgMar w:top="1134" w:right="567" w:bottom="1134" w:left="1701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E78E3"/>
    <w:multiLevelType w:val="multilevel"/>
    <w:tmpl w:val="889AFAB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OpenSymbol" w:hint="default"/>
        <w:color w:val="000000"/>
        <w:sz w:val="28"/>
        <w:lang w:val="uk-U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olor w:val="000000"/>
        <w:sz w:val="28"/>
        <w:lang w:val="uk-U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olor w:val="000000"/>
        <w:sz w:val="28"/>
        <w:lang w:val="uk-U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C376640"/>
    <w:multiLevelType w:val="multilevel"/>
    <w:tmpl w:val="F0C65C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/>
  <w:rsids>
    <w:rsidRoot w:val="007219ED"/>
    <w:rsid w:val="007219ED"/>
    <w:rsid w:val="00E4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ED"/>
    <w:pPr>
      <w:widowControl w:val="0"/>
    </w:pPr>
    <w:rPr>
      <w:color w:val="00000A"/>
      <w:sz w:val="24"/>
    </w:rPr>
  </w:style>
  <w:style w:type="paragraph" w:styleId="1">
    <w:name w:val="heading 1"/>
    <w:basedOn w:val="a"/>
    <w:rsid w:val="007219ED"/>
    <w:pPr>
      <w:keepNext/>
      <w:jc w:val="center"/>
      <w:outlineLvl w:val="0"/>
    </w:pPr>
    <w:rPr>
      <w:rFonts w:ascii="Arial" w:hAnsi="Arial" w:cs="Arial"/>
      <w:b/>
      <w:bCs/>
      <w:caps/>
      <w:sz w:val="28"/>
      <w:lang w:val="uk-UA"/>
    </w:rPr>
  </w:style>
  <w:style w:type="paragraph" w:styleId="2">
    <w:name w:val="heading 2"/>
    <w:basedOn w:val="a0"/>
    <w:rsid w:val="007219ED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rsid w:val="007219ED"/>
    <w:p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7219ED"/>
    <w:rPr>
      <w:color w:val="000080"/>
      <w:u w:val="single"/>
    </w:rPr>
  </w:style>
  <w:style w:type="character" w:customStyle="1" w:styleId="a4">
    <w:name w:val="Маркеры списка"/>
    <w:qFormat/>
    <w:rsid w:val="007219ED"/>
    <w:rPr>
      <w:rFonts w:ascii="OpenSymbol" w:eastAsia="OpenSymbol" w:hAnsi="OpenSymbol" w:cs="OpenSymbol"/>
    </w:rPr>
  </w:style>
  <w:style w:type="character" w:customStyle="1" w:styleId="WW8Num3z0">
    <w:name w:val="WW8Num3z0"/>
    <w:qFormat/>
    <w:rsid w:val="007219ED"/>
    <w:rPr>
      <w:rFonts w:ascii="Symbol" w:hAnsi="Symbol" w:cs="OpenSymbol"/>
      <w:color w:val="000000"/>
      <w:sz w:val="28"/>
      <w:lang w:val="uk-UA"/>
    </w:rPr>
  </w:style>
  <w:style w:type="character" w:customStyle="1" w:styleId="WW8Num3z1">
    <w:name w:val="WW8Num3z1"/>
    <w:qFormat/>
    <w:rsid w:val="007219ED"/>
    <w:rPr>
      <w:rFonts w:ascii="OpenSymbol" w:hAnsi="OpenSymbol" w:cs="OpenSymbol"/>
    </w:rPr>
  </w:style>
  <w:style w:type="character" w:customStyle="1" w:styleId="WWCharLFO3LVL1">
    <w:name w:val="WW_CharLFO3LVL1"/>
    <w:qFormat/>
    <w:rsid w:val="007219ED"/>
    <w:rPr>
      <w:rFonts w:ascii="Symbol" w:hAnsi="Symbol"/>
    </w:rPr>
  </w:style>
  <w:style w:type="character" w:customStyle="1" w:styleId="WWCharLFO3LVL2">
    <w:name w:val="WW_CharLFO3LVL2"/>
    <w:qFormat/>
    <w:rsid w:val="007219ED"/>
    <w:rPr>
      <w:rFonts w:ascii="OpenSymbol" w:eastAsia="OpenSymbol" w:hAnsi="OpenSymbol" w:cs="OpenSymbol"/>
    </w:rPr>
  </w:style>
  <w:style w:type="character" w:customStyle="1" w:styleId="WWCharLFO3LVL3">
    <w:name w:val="WW_CharLFO3LVL3"/>
    <w:qFormat/>
    <w:rsid w:val="007219ED"/>
    <w:rPr>
      <w:rFonts w:ascii="OpenSymbol" w:eastAsia="OpenSymbol" w:hAnsi="OpenSymbol" w:cs="OpenSymbol"/>
    </w:rPr>
  </w:style>
  <w:style w:type="character" w:customStyle="1" w:styleId="WWCharLFO3LVL4">
    <w:name w:val="WW_CharLFO3LVL4"/>
    <w:qFormat/>
    <w:rsid w:val="007219ED"/>
    <w:rPr>
      <w:rFonts w:ascii="OpenSymbol" w:eastAsia="OpenSymbol" w:hAnsi="OpenSymbol" w:cs="OpenSymbol"/>
    </w:rPr>
  </w:style>
  <w:style w:type="character" w:customStyle="1" w:styleId="WWCharLFO3LVL5">
    <w:name w:val="WW_CharLFO3LVL5"/>
    <w:qFormat/>
    <w:rsid w:val="007219ED"/>
    <w:rPr>
      <w:rFonts w:ascii="OpenSymbol" w:eastAsia="OpenSymbol" w:hAnsi="OpenSymbol" w:cs="OpenSymbol"/>
    </w:rPr>
  </w:style>
  <w:style w:type="character" w:customStyle="1" w:styleId="WWCharLFO3LVL6">
    <w:name w:val="WW_CharLFO3LVL6"/>
    <w:qFormat/>
    <w:rsid w:val="007219ED"/>
    <w:rPr>
      <w:rFonts w:ascii="OpenSymbol" w:eastAsia="OpenSymbol" w:hAnsi="OpenSymbol" w:cs="OpenSymbol"/>
    </w:rPr>
  </w:style>
  <w:style w:type="character" w:customStyle="1" w:styleId="WWCharLFO3LVL7">
    <w:name w:val="WW_CharLFO3LVL7"/>
    <w:qFormat/>
    <w:rsid w:val="007219ED"/>
    <w:rPr>
      <w:rFonts w:ascii="OpenSymbol" w:eastAsia="OpenSymbol" w:hAnsi="OpenSymbol" w:cs="OpenSymbol"/>
    </w:rPr>
  </w:style>
  <w:style w:type="character" w:customStyle="1" w:styleId="WWCharLFO3LVL8">
    <w:name w:val="WW_CharLFO3LVL8"/>
    <w:qFormat/>
    <w:rsid w:val="007219ED"/>
    <w:rPr>
      <w:rFonts w:ascii="OpenSymbol" w:eastAsia="OpenSymbol" w:hAnsi="OpenSymbol" w:cs="OpenSymbol"/>
    </w:rPr>
  </w:style>
  <w:style w:type="character" w:customStyle="1" w:styleId="WWCharLFO3LVL9">
    <w:name w:val="WW_CharLFO3LVL9"/>
    <w:qFormat/>
    <w:rsid w:val="007219ED"/>
    <w:rPr>
      <w:rFonts w:ascii="OpenSymbol" w:eastAsia="OpenSymbol" w:hAnsi="OpenSymbol" w:cs="OpenSymbol"/>
    </w:rPr>
  </w:style>
  <w:style w:type="character" w:customStyle="1" w:styleId="WWCharLFO4LVL1">
    <w:name w:val="WW_CharLFO4LVL1"/>
    <w:qFormat/>
    <w:rsid w:val="007219ED"/>
    <w:rPr>
      <w:rFonts w:ascii="Symbol" w:hAnsi="Symbol"/>
    </w:rPr>
  </w:style>
  <w:style w:type="character" w:customStyle="1" w:styleId="WWCharLFO4LVL2">
    <w:name w:val="WW_CharLFO4LVL2"/>
    <w:qFormat/>
    <w:rsid w:val="007219ED"/>
    <w:rPr>
      <w:rFonts w:ascii="OpenSymbol" w:eastAsia="OpenSymbol" w:hAnsi="OpenSymbol" w:cs="OpenSymbol"/>
    </w:rPr>
  </w:style>
  <w:style w:type="character" w:customStyle="1" w:styleId="WWCharLFO4LVL3">
    <w:name w:val="WW_CharLFO4LVL3"/>
    <w:qFormat/>
    <w:rsid w:val="007219ED"/>
    <w:rPr>
      <w:rFonts w:ascii="OpenSymbol" w:eastAsia="OpenSymbol" w:hAnsi="OpenSymbol" w:cs="OpenSymbol"/>
    </w:rPr>
  </w:style>
  <w:style w:type="character" w:customStyle="1" w:styleId="WWCharLFO4LVL4">
    <w:name w:val="WW_CharLFO4LVL4"/>
    <w:qFormat/>
    <w:rsid w:val="007219ED"/>
    <w:rPr>
      <w:rFonts w:ascii="OpenSymbol" w:eastAsia="OpenSymbol" w:hAnsi="OpenSymbol" w:cs="OpenSymbol"/>
    </w:rPr>
  </w:style>
  <w:style w:type="character" w:customStyle="1" w:styleId="WWCharLFO4LVL5">
    <w:name w:val="WW_CharLFO4LVL5"/>
    <w:qFormat/>
    <w:rsid w:val="007219ED"/>
    <w:rPr>
      <w:rFonts w:ascii="OpenSymbol" w:eastAsia="OpenSymbol" w:hAnsi="OpenSymbol" w:cs="OpenSymbol"/>
    </w:rPr>
  </w:style>
  <w:style w:type="character" w:customStyle="1" w:styleId="WWCharLFO4LVL6">
    <w:name w:val="WW_CharLFO4LVL6"/>
    <w:qFormat/>
    <w:rsid w:val="007219ED"/>
    <w:rPr>
      <w:rFonts w:ascii="OpenSymbol" w:eastAsia="OpenSymbol" w:hAnsi="OpenSymbol" w:cs="OpenSymbol"/>
    </w:rPr>
  </w:style>
  <w:style w:type="character" w:customStyle="1" w:styleId="WWCharLFO4LVL7">
    <w:name w:val="WW_CharLFO4LVL7"/>
    <w:qFormat/>
    <w:rsid w:val="007219ED"/>
    <w:rPr>
      <w:rFonts w:ascii="OpenSymbol" w:eastAsia="OpenSymbol" w:hAnsi="OpenSymbol" w:cs="OpenSymbol"/>
    </w:rPr>
  </w:style>
  <w:style w:type="character" w:customStyle="1" w:styleId="WWCharLFO4LVL8">
    <w:name w:val="WW_CharLFO4LVL8"/>
    <w:qFormat/>
    <w:rsid w:val="007219ED"/>
    <w:rPr>
      <w:rFonts w:ascii="OpenSymbol" w:eastAsia="OpenSymbol" w:hAnsi="OpenSymbol" w:cs="OpenSymbol"/>
    </w:rPr>
  </w:style>
  <w:style w:type="character" w:customStyle="1" w:styleId="WWCharLFO4LVL9">
    <w:name w:val="WW_CharLFO4LVL9"/>
    <w:qFormat/>
    <w:rsid w:val="007219ED"/>
    <w:rPr>
      <w:rFonts w:ascii="OpenSymbol" w:eastAsia="OpenSymbol" w:hAnsi="OpenSymbol" w:cs="OpenSymbol"/>
    </w:rPr>
  </w:style>
  <w:style w:type="character" w:customStyle="1" w:styleId="a5">
    <w:name w:val="Выделение жирным"/>
    <w:rsid w:val="007219ED"/>
    <w:rPr>
      <w:b/>
      <w:bCs/>
    </w:rPr>
  </w:style>
  <w:style w:type="character" w:customStyle="1" w:styleId="WW8Num1z0">
    <w:name w:val="WW8Num1z0"/>
    <w:qFormat/>
    <w:rsid w:val="007219ED"/>
    <w:rPr>
      <w:rFonts w:ascii="Symbol" w:hAnsi="Symbol" w:cs="Symbol"/>
      <w:sz w:val="28"/>
      <w:szCs w:val="28"/>
      <w:lang w:val="uk-UA"/>
    </w:rPr>
  </w:style>
  <w:style w:type="character" w:customStyle="1" w:styleId="WW8Num1z1">
    <w:name w:val="WW8Num1z1"/>
    <w:qFormat/>
    <w:rsid w:val="007219ED"/>
    <w:rPr>
      <w:rFonts w:ascii="Courier New" w:hAnsi="Courier New" w:cs="Courier New"/>
    </w:rPr>
  </w:style>
  <w:style w:type="character" w:customStyle="1" w:styleId="WW8Num1z2">
    <w:name w:val="WW8Num1z2"/>
    <w:qFormat/>
    <w:rsid w:val="007219ED"/>
    <w:rPr>
      <w:rFonts w:ascii="Wingdings" w:hAnsi="Wingdings" w:cs="Wingdings"/>
    </w:rPr>
  </w:style>
  <w:style w:type="character" w:customStyle="1" w:styleId="a6">
    <w:name w:val="Текст выноски Знак"/>
    <w:basedOn w:val="a1"/>
    <w:uiPriority w:val="99"/>
    <w:semiHidden/>
    <w:qFormat/>
    <w:rsid w:val="003B4B8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7219ED"/>
    <w:rPr>
      <w:rFonts w:cs="OpenSymbol"/>
      <w:color w:val="000000"/>
      <w:sz w:val="28"/>
      <w:lang w:val="uk-UA"/>
    </w:rPr>
  </w:style>
  <w:style w:type="character" w:customStyle="1" w:styleId="ListLabel2">
    <w:name w:val="ListLabel 2"/>
    <w:qFormat/>
    <w:rsid w:val="007219ED"/>
    <w:rPr>
      <w:rFonts w:cs="OpenSymbol"/>
    </w:rPr>
  </w:style>
  <w:style w:type="character" w:customStyle="1" w:styleId="ListLabel3">
    <w:name w:val="ListLabel 3"/>
    <w:qFormat/>
    <w:rsid w:val="007219ED"/>
    <w:rPr>
      <w:rFonts w:cs="Symbol"/>
      <w:sz w:val="28"/>
      <w:szCs w:val="28"/>
      <w:lang w:val="uk-UA"/>
    </w:rPr>
  </w:style>
  <w:style w:type="character" w:customStyle="1" w:styleId="ListLabel4">
    <w:name w:val="ListLabel 4"/>
    <w:qFormat/>
    <w:rsid w:val="007219ED"/>
    <w:rPr>
      <w:rFonts w:eastAsia="Times New Roman" w:cs="Times New Roman"/>
    </w:rPr>
  </w:style>
  <w:style w:type="character" w:customStyle="1" w:styleId="ListLabel5">
    <w:name w:val="ListLabel 5"/>
    <w:qFormat/>
    <w:rsid w:val="007219ED"/>
    <w:rPr>
      <w:rFonts w:cs="Courier New"/>
    </w:rPr>
  </w:style>
  <w:style w:type="character" w:customStyle="1" w:styleId="ListLabel6">
    <w:name w:val="ListLabel 6"/>
    <w:qFormat/>
    <w:rsid w:val="007219ED"/>
    <w:rPr>
      <w:rFonts w:cs="OpenSymbol"/>
      <w:color w:val="000000"/>
      <w:sz w:val="28"/>
      <w:lang w:val="uk-UA"/>
    </w:rPr>
  </w:style>
  <w:style w:type="character" w:customStyle="1" w:styleId="ListLabel7">
    <w:name w:val="ListLabel 7"/>
    <w:qFormat/>
    <w:rsid w:val="007219ED"/>
    <w:rPr>
      <w:rFonts w:cs="OpenSymbol"/>
    </w:rPr>
  </w:style>
  <w:style w:type="character" w:customStyle="1" w:styleId="ListLabel8">
    <w:name w:val="ListLabel 8"/>
    <w:qFormat/>
    <w:rsid w:val="007219ED"/>
    <w:rPr>
      <w:rFonts w:cs="OpenSymbol"/>
      <w:color w:val="000000"/>
      <w:sz w:val="28"/>
      <w:lang w:val="uk-UA"/>
    </w:rPr>
  </w:style>
  <w:style w:type="character" w:customStyle="1" w:styleId="ListLabel9">
    <w:name w:val="ListLabel 9"/>
    <w:qFormat/>
    <w:rsid w:val="007219ED"/>
    <w:rPr>
      <w:rFonts w:cs="OpenSymbol"/>
    </w:rPr>
  </w:style>
  <w:style w:type="character" w:customStyle="1" w:styleId="ListLabel10">
    <w:name w:val="ListLabel 10"/>
    <w:qFormat/>
    <w:rsid w:val="007219ED"/>
    <w:rPr>
      <w:rFonts w:cs="OpenSymbol"/>
      <w:color w:val="000000"/>
      <w:sz w:val="28"/>
      <w:lang w:val="uk-UA"/>
    </w:rPr>
  </w:style>
  <w:style w:type="character" w:customStyle="1" w:styleId="ListLabel11">
    <w:name w:val="ListLabel 11"/>
    <w:qFormat/>
    <w:rsid w:val="007219ED"/>
    <w:rPr>
      <w:rFonts w:cs="OpenSymbol"/>
    </w:rPr>
  </w:style>
  <w:style w:type="paragraph" w:customStyle="1" w:styleId="a0">
    <w:name w:val="Заголовок"/>
    <w:basedOn w:val="a"/>
    <w:next w:val="a7"/>
    <w:qFormat/>
    <w:rsid w:val="007219ED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"/>
    <w:rsid w:val="007219ED"/>
    <w:pPr>
      <w:spacing w:after="120"/>
    </w:pPr>
  </w:style>
  <w:style w:type="paragraph" w:styleId="a8">
    <w:name w:val="List"/>
    <w:basedOn w:val="a7"/>
    <w:rsid w:val="007219ED"/>
  </w:style>
  <w:style w:type="paragraph" w:styleId="a9">
    <w:name w:val="Title"/>
    <w:basedOn w:val="a"/>
    <w:rsid w:val="007219ED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7219ED"/>
    <w:pPr>
      <w:suppressLineNumbers/>
    </w:pPr>
  </w:style>
  <w:style w:type="paragraph" w:customStyle="1" w:styleId="ab">
    <w:name w:val="Заглавие"/>
    <w:basedOn w:val="a0"/>
    <w:rsid w:val="007219ED"/>
    <w:pPr>
      <w:jc w:val="center"/>
    </w:pPr>
    <w:rPr>
      <w:b/>
      <w:bCs/>
      <w:sz w:val="56"/>
      <w:szCs w:val="56"/>
    </w:rPr>
  </w:style>
  <w:style w:type="paragraph" w:customStyle="1" w:styleId="ac">
    <w:name w:val="Содержимое таблицы"/>
    <w:basedOn w:val="a"/>
    <w:qFormat/>
    <w:rsid w:val="007219ED"/>
    <w:pPr>
      <w:suppressLineNumbers/>
    </w:pPr>
  </w:style>
  <w:style w:type="paragraph" w:customStyle="1" w:styleId="ad">
    <w:name w:val="Содержимое врезки"/>
    <w:basedOn w:val="a"/>
    <w:qFormat/>
    <w:rsid w:val="007219ED"/>
  </w:style>
  <w:style w:type="paragraph" w:styleId="ae">
    <w:name w:val="Body Text Indent"/>
    <w:basedOn w:val="a"/>
    <w:rsid w:val="007219ED"/>
    <w:pPr>
      <w:ind w:firstLine="720"/>
      <w:jc w:val="both"/>
    </w:pPr>
    <w:rPr>
      <w:sz w:val="28"/>
    </w:rPr>
  </w:style>
  <w:style w:type="paragraph" w:styleId="af">
    <w:name w:val="Normal (Web)"/>
    <w:basedOn w:val="a"/>
    <w:qFormat/>
    <w:rsid w:val="007219ED"/>
    <w:pPr>
      <w:spacing w:before="280" w:after="142" w:line="288" w:lineRule="auto"/>
    </w:pPr>
  </w:style>
  <w:style w:type="paragraph" w:customStyle="1" w:styleId="31">
    <w:name w:val="Основной текст с отступом 31"/>
    <w:basedOn w:val="a"/>
    <w:qFormat/>
    <w:rsid w:val="007219ED"/>
    <w:pPr>
      <w:ind w:firstLine="708"/>
      <w:jc w:val="both"/>
    </w:pPr>
    <w:rPr>
      <w:sz w:val="28"/>
      <w:lang w:val="uk-UA"/>
    </w:rPr>
  </w:style>
  <w:style w:type="paragraph" w:customStyle="1" w:styleId="af0">
    <w:name w:val="Блочная цитата"/>
    <w:basedOn w:val="a"/>
    <w:qFormat/>
    <w:rsid w:val="007219ED"/>
    <w:pPr>
      <w:spacing w:after="283"/>
      <w:ind w:left="567" w:right="567"/>
    </w:pPr>
  </w:style>
  <w:style w:type="paragraph" w:styleId="af1">
    <w:name w:val="Subtitle"/>
    <w:basedOn w:val="a0"/>
    <w:rsid w:val="007219ED"/>
    <w:pPr>
      <w:spacing w:before="60"/>
      <w:jc w:val="center"/>
    </w:pPr>
    <w:rPr>
      <w:sz w:val="36"/>
      <w:szCs w:val="36"/>
    </w:rPr>
  </w:style>
  <w:style w:type="paragraph" w:styleId="af2">
    <w:name w:val="List Paragraph"/>
    <w:basedOn w:val="a"/>
    <w:qFormat/>
    <w:rsid w:val="007219ED"/>
    <w:pPr>
      <w:spacing w:after="200"/>
      <w:ind w:left="720"/>
      <w:contextualSpacing/>
    </w:pPr>
  </w:style>
  <w:style w:type="paragraph" w:styleId="af3">
    <w:name w:val="footer"/>
    <w:basedOn w:val="a"/>
    <w:rsid w:val="007219ED"/>
    <w:pPr>
      <w:suppressLineNumbers/>
      <w:tabs>
        <w:tab w:val="center" w:pos="4819"/>
        <w:tab w:val="right" w:pos="9638"/>
      </w:tabs>
    </w:pPr>
  </w:style>
  <w:style w:type="paragraph" w:styleId="af4">
    <w:name w:val="Balloon Text"/>
    <w:basedOn w:val="a"/>
    <w:uiPriority w:val="99"/>
    <w:semiHidden/>
    <w:unhideWhenUsed/>
    <w:qFormat/>
    <w:rsid w:val="003B4B8D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qFormat/>
    <w:rsid w:val="00FC0F77"/>
    <w:pPr>
      <w:widowControl/>
      <w:spacing w:beforeAutospacing="1" w:after="142" w:line="288" w:lineRule="auto"/>
    </w:pPr>
    <w:rPr>
      <w:rFonts w:ascii="Liberation Serif" w:eastAsia="Times New Roman" w:hAnsi="Liberation Serif" w:cs="Liberation Serif"/>
      <w:color w:val="000000"/>
      <w:lang w:val="ru-RU" w:eastAsia="ru-RU" w:bidi="ar-SA"/>
    </w:rPr>
  </w:style>
  <w:style w:type="numbering" w:customStyle="1" w:styleId="WW8Num2">
    <w:name w:val="WW8Num2"/>
    <w:rsid w:val="007219ED"/>
  </w:style>
  <w:style w:type="numbering" w:customStyle="1" w:styleId="WW8Num3">
    <w:name w:val="WW8Num3"/>
    <w:rsid w:val="007219ED"/>
  </w:style>
  <w:style w:type="numbering" w:customStyle="1" w:styleId="WW8Num1">
    <w:name w:val="WW8Num1"/>
    <w:rsid w:val="007219ED"/>
  </w:style>
  <w:style w:type="table" w:styleId="af5">
    <w:name w:val="Table Grid"/>
    <w:basedOn w:val="a2"/>
    <w:uiPriority w:val="39"/>
    <w:rsid w:val="00FC0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label 0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dLbls>
            <c:dLblPos val="outEnd"/>
            <c:showVal val="1"/>
          </c:dLbls>
          <c:cat>
            <c:strRef>
              <c:f>categories</c:f>
              <c:strCache>
                <c:ptCount val="4"/>
                <c:pt idx="0">
                  <c:v>вхідна</c:v>
                </c:pt>
                <c:pt idx="1">
                  <c:v>вихідна</c:v>
                </c:pt>
                <c:pt idx="2">
                  <c:v>Зв-ня гр-н</c:v>
                </c:pt>
                <c:pt idx="3">
                  <c:v>в т.ч. у/гл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1900</c:v>
                </c:pt>
                <c:pt idx="1">
                  <c:v>1068</c:v>
                </c:pt>
                <c:pt idx="2">
                  <c:v>938</c:v>
                </c:pt>
                <c:pt idx="3">
                  <c:v>125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dLbls>
            <c:dLblPos val="outEnd"/>
            <c:showVal val="1"/>
          </c:dLbls>
          <c:cat>
            <c:strRef>
              <c:f>categories</c:f>
              <c:strCache>
                <c:ptCount val="4"/>
                <c:pt idx="0">
                  <c:v>вхідна</c:v>
                </c:pt>
                <c:pt idx="1">
                  <c:v>вихідна</c:v>
                </c:pt>
                <c:pt idx="2">
                  <c:v>Зв-ня гр-н</c:v>
                </c:pt>
                <c:pt idx="3">
                  <c:v>в т.ч. у/гл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2167</c:v>
                </c:pt>
                <c:pt idx="1">
                  <c:v>2282</c:v>
                </c:pt>
                <c:pt idx="2">
                  <c:v>983</c:v>
                </c:pt>
                <c:pt idx="3">
                  <c:v>128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</c:spPr>
          <c:dLbls>
            <c:dLblPos val="outEnd"/>
            <c:showVal val="1"/>
          </c:dLbls>
          <c:cat>
            <c:strRef>
              <c:f>categories</c:f>
              <c:strCache>
                <c:ptCount val="4"/>
                <c:pt idx="0">
                  <c:v>вхідна</c:v>
                </c:pt>
                <c:pt idx="1">
                  <c:v>вихідна</c:v>
                </c:pt>
                <c:pt idx="2">
                  <c:v>Зв-ня гр-н</c:v>
                </c:pt>
                <c:pt idx="3">
                  <c:v>в т.ч. у/гл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2089</c:v>
                </c:pt>
                <c:pt idx="1">
                  <c:v>2135</c:v>
                </c:pt>
                <c:pt idx="2">
                  <c:v>839</c:v>
                </c:pt>
                <c:pt idx="3">
                  <c:v>109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dLbls>
            <c:dLblPos val="outEnd"/>
            <c:showVal val="1"/>
          </c:dLbls>
          <c:cat>
            <c:strRef>
              <c:f>categories</c:f>
              <c:strCache>
                <c:ptCount val="4"/>
                <c:pt idx="0">
                  <c:v>вхідна</c:v>
                </c:pt>
                <c:pt idx="1">
                  <c:v>вихідна</c:v>
                </c:pt>
                <c:pt idx="2">
                  <c:v>Зв-ня гр-н</c:v>
                </c:pt>
                <c:pt idx="3">
                  <c:v>в т.ч. у/гл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4"/>
                <c:pt idx="0">
                  <c:v>2011</c:v>
                </c:pt>
                <c:pt idx="1">
                  <c:v>1896</c:v>
                </c:pt>
                <c:pt idx="2">
                  <c:v>1463</c:v>
                </c:pt>
                <c:pt idx="3">
                  <c:v>98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dLbls>
            <c:dLblPos val="outEnd"/>
            <c:showVal val="1"/>
          </c:dLbls>
          <c:cat>
            <c:strRef>
              <c:f>categories</c:f>
              <c:strCache>
                <c:ptCount val="4"/>
                <c:pt idx="0">
                  <c:v>вхідна</c:v>
                </c:pt>
                <c:pt idx="1">
                  <c:v>вихідна</c:v>
                </c:pt>
                <c:pt idx="2">
                  <c:v>Зв-ня гр-н</c:v>
                </c:pt>
                <c:pt idx="3">
                  <c:v>в т.ч. у/гл</c:v>
                </c:pt>
              </c:strCache>
            </c:strRef>
          </c:cat>
          <c:val>
            <c:numRef>
              <c:f>4</c:f>
              <c:numCache>
                <c:formatCode>General</c:formatCode>
                <c:ptCount val="4"/>
                <c:pt idx="0">
                  <c:v>3447</c:v>
                </c:pt>
                <c:pt idx="1">
                  <c:v>3351</c:v>
                </c:pt>
                <c:pt idx="2">
                  <c:v>877</c:v>
                </c:pt>
                <c:pt idx="3">
                  <c:v>185</c:v>
                </c:pt>
              </c:numCache>
            </c:numRef>
          </c:val>
        </c:ser>
        <c:gapWidth val="219"/>
        <c:overlap val="-27"/>
        <c:axId val="109612416"/>
        <c:axId val="109627648"/>
      </c:barChart>
      <c:catAx>
        <c:axId val="109612416"/>
        <c:scaling>
          <c:orientation val="minMax"/>
        </c:scaling>
        <c:axPos val="b"/>
        <c:numFmt formatCode="dd\.mm\.yyyy" sourceLinked="1"/>
        <c:majorTickMark val="none"/>
        <c:tickLblPos val="nextTo"/>
        <c:spPr>
          <a:ln w="6480">
            <a:solidFill>
              <a:srgbClr val="C0C0C0"/>
            </a:solidFill>
            <a:round/>
          </a:ln>
        </c:spPr>
        <c:txPr>
          <a:bodyPr/>
          <a:lstStyle/>
          <a:p>
            <a:pPr>
              <a:defRPr sz="900" spc="-1">
                <a:solidFill>
                  <a:srgbClr val="333333"/>
                </a:solidFill>
                <a:latin typeface="Calibri"/>
              </a:defRPr>
            </a:pPr>
            <a:endParaRPr lang="ru-RU"/>
          </a:p>
        </c:txPr>
        <c:crossAx val="109627648"/>
        <c:crosses val="autoZero"/>
        <c:auto val="1"/>
        <c:lblAlgn val="ctr"/>
        <c:lblOffset val="100"/>
      </c:catAx>
      <c:valAx>
        <c:axId val="109627648"/>
        <c:scaling>
          <c:orientation val="minMax"/>
        </c:scaling>
        <c:axPos val="l"/>
        <c:majorGridlines>
          <c:spPr>
            <a:ln w="6480">
              <a:solidFill>
                <a:srgbClr val="C0C0C0"/>
              </a:solidFill>
              <a:round/>
            </a:ln>
          </c:spPr>
        </c:majorGridlines>
        <c:numFmt formatCode="s&quot;tan&quot;d&quot;a&quot;yyyyd" sourceLinked="0"/>
        <c:maj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spc="-1">
                <a:solidFill>
                  <a:srgbClr val="333333"/>
                </a:solidFill>
                <a:latin typeface="Calibri"/>
              </a:defRPr>
            </a:pPr>
            <a:endParaRPr lang="ru-RU"/>
          </a:p>
        </c:txPr>
        <c:crossAx val="109612416"/>
        <c:crosses val="autoZero"/>
        <c:crossBetween val="between"/>
      </c:valAx>
      <c:spPr>
        <a:noFill/>
        <a:ln w="12600">
          <a:noFill/>
        </a:ln>
      </c:spPr>
    </c:plotArea>
    <c:legend>
      <c:legendPos val="r"/>
      <c:layout>
        <c:manualLayout>
          <c:xMode val="edge"/>
          <c:yMode val="edge"/>
          <c:x val="0.59518749999999987"/>
          <c:y val="9.5555555555555671E-2"/>
        </c:manualLayout>
      </c:layout>
      <c:spPr>
        <a:noFill/>
        <a:ln>
          <a:noFill/>
        </a:ln>
      </c:spPr>
    </c:legend>
    <c:plotVisOnly val="1"/>
    <c:dispBlanksAs val="gap"/>
  </c:chart>
  <c:spPr>
    <a:solidFill>
      <a:srgbClr val="FFFFFF"/>
    </a:solidFill>
    <a:ln>
      <a:solidFill>
        <a:srgbClr val="C0C0C0"/>
      </a:solidFill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view3D>
      <c:rotX val="34"/>
      <c:rotY val="75"/>
      <c:perspective val="10"/>
    </c:view3D>
    <c:floor>
      <c:spPr>
        <a:solidFill>
          <a:srgbClr val="D9D9D9"/>
        </a:solidFill>
        <a:ln>
          <a:noFill/>
        </a:ln>
      </c:spPr>
    </c:floor>
    <c:backWall>
      <c:spPr>
        <a:solidFill>
          <a:srgbClr val="D9D9D9"/>
        </a:solidFill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 B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dPt>
            <c:idx val="1"/>
            <c:spPr>
              <a:solidFill>
                <a:srgbClr val="FF420E"/>
              </a:solidFill>
              <a:ln>
                <a:noFill/>
              </a:ln>
            </c:spPr>
          </c:dPt>
          <c:dPt>
            <c:idx val="2"/>
            <c:spPr>
              <a:solidFill>
                <a:srgbClr val="FFD320"/>
              </a:solidFill>
              <a:ln>
                <a:noFill/>
              </a:ln>
            </c:spPr>
          </c:dPt>
          <c:dPt>
            <c:idx val="3"/>
            <c:spPr>
              <a:solidFill>
                <a:srgbClr val="579D1C"/>
              </a:solidFill>
              <a:ln>
                <a:noFill/>
              </a:ln>
            </c:spPr>
          </c:dPt>
          <c:dPt>
            <c:idx val="4"/>
            <c:spPr>
              <a:solidFill>
                <a:srgbClr val="7E0021"/>
              </a:solidFill>
              <a:ln>
                <a:noFill/>
              </a:ln>
            </c:spPr>
          </c:dPt>
          <c:dPt>
            <c:idx val="5"/>
            <c:spPr>
              <a:solidFill>
                <a:srgbClr val="83CAFF"/>
              </a:solidFill>
              <a:ln>
                <a:noFill/>
              </a:ln>
            </c:spPr>
          </c:dPt>
          <c:dPt>
            <c:idx val="6"/>
            <c:spPr>
              <a:solidFill>
                <a:srgbClr val="314004"/>
              </a:solidFill>
              <a:ln>
                <a:noFill/>
              </a:ln>
            </c:spPr>
          </c:dPt>
          <c:dPt>
            <c:idx val="7"/>
            <c:spPr>
              <a:solidFill>
                <a:srgbClr val="AECF00"/>
              </a:solidFill>
              <a:ln>
                <a:noFill/>
              </a:ln>
            </c:spPr>
          </c:dPt>
          <c:dPt>
            <c:idx val="8"/>
            <c:spPr>
              <a:solidFill>
                <a:srgbClr val="4B1F6F"/>
              </a:solidFill>
              <a:ln>
                <a:noFill/>
              </a:ln>
            </c:spPr>
          </c:dPt>
          <c:dPt>
            <c:idx val="9"/>
            <c:spPr>
              <a:solidFill>
                <a:srgbClr val="FF950E"/>
              </a:solidFill>
              <a:ln>
                <a:noFill/>
              </a:ln>
            </c:spPr>
          </c:dPt>
          <c:dPt>
            <c:idx val="10"/>
            <c:spPr>
              <a:solidFill>
                <a:srgbClr val="C5000B"/>
              </a:solidFill>
              <a:ln>
                <a:noFill/>
              </a:ln>
            </c:spPr>
          </c:dPt>
          <c:dPt>
            <c:idx val="11"/>
            <c:spPr>
              <a:solidFill>
                <a:srgbClr val="0084D1"/>
              </a:solidFill>
              <a:ln>
                <a:noFill/>
              </a:ln>
            </c:spPr>
          </c:dPt>
          <c:dPt>
            <c:idx val="13"/>
            <c:spPr>
              <a:solidFill>
                <a:srgbClr val="FF420E"/>
              </a:solidFill>
              <a:ln>
                <a:noFill/>
              </a:ln>
            </c:spPr>
          </c:dPt>
          <c:dPt>
            <c:idx val="14"/>
            <c:spPr>
              <a:solidFill>
                <a:srgbClr val="FFD320"/>
              </a:solidFill>
              <a:ln>
                <a:noFill/>
              </a:ln>
            </c:spPr>
          </c:dPt>
          <c:dPt>
            <c:idx val="15"/>
            <c:spPr>
              <a:solidFill>
                <a:srgbClr val="579D1C"/>
              </a:solidFill>
              <a:ln>
                <a:noFill/>
              </a:ln>
            </c:spPr>
          </c:dPt>
          <c:dLbls>
            <c:dLbl>
              <c:idx val="9"/>
              <c:delete val="1"/>
            </c:dLbl>
            <c:dLbl>
              <c:idx val="14"/>
              <c:dLblPos val="outEnd"/>
              <c:showLegendKey val="1"/>
              <c:showVal val="1"/>
              <c:showCatName val="1"/>
              <c:showPercent val="1"/>
            </c:dLbl>
            <c:dLblPos val="outEnd"/>
            <c:showVal val="1"/>
            <c:showCatName val="1"/>
            <c:showPercent val="1"/>
          </c:dLbls>
          <c:cat>
            <c:strRef>
              <c:f>categories</c:f>
              <c:strCache>
                <c:ptCount val="16"/>
                <c:pt idx="0">
                  <c:v>видача посвідчень, довідок</c:v>
                </c:pt>
                <c:pt idx="1">
                  <c:v>питання пільг</c:v>
                </c:pt>
                <c:pt idx="2">
                  <c:v>призначення субсидії</c:v>
                </c:pt>
                <c:pt idx="3">
                  <c:v>сан-кур.лікув-ня</c:v>
                </c:pt>
                <c:pt idx="4">
                  <c:v>надання матер.допомоги</c:v>
                </c:pt>
                <c:pt idx="5">
                  <c:v>надання безкоштовно 75 кВт ел.ен</c:v>
                </c:pt>
                <c:pt idx="6">
                  <c:v>запити особ.справ</c:v>
                </c:pt>
                <c:pt idx="7">
                  <c:v>засоби техніч.реабіл.інвалідів</c:v>
                </c:pt>
                <c:pt idx="8">
                  <c:v>соц.таксі</c:v>
                </c:pt>
                <c:pt idx="9">
                  <c:v>утримання та поверн.переплат</c:v>
                </c:pt>
                <c:pt idx="10">
                  <c:v>призначення та виплата допомог</c:v>
                </c:pt>
                <c:pt idx="11">
                  <c:v>різні питання</c:v>
                </c:pt>
                <c:pt idx="12">
                  <c:v>дозвіл на пільги за факт.місцем прож.</c:v>
                </c:pt>
                <c:pt idx="13">
                  <c:v>перерахунку допомоги до 5 травня</c:v>
                </c:pt>
                <c:pt idx="14">
                  <c:v>питання охорони здоров'я</c:v>
                </c:pt>
                <c:pt idx="15">
                  <c:v>питання дітей (служба)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6"/>
                <c:pt idx="0">
                  <c:v>95</c:v>
                </c:pt>
                <c:pt idx="1">
                  <c:v>228</c:v>
                </c:pt>
                <c:pt idx="2">
                  <c:v>64</c:v>
                </c:pt>
                <c:pt idx="3">
                  <c:v>5</c:v>
                </c:pt>
                <c:pt idx="4">
                  <c:v>127</c:v>
                </c:pt>
                <c:pt idx="5">
                  <c:v>14</c:v>
                </c:pt>
                <c:pt idx="6">
                  <c:v>33</c:v>
                </c:pt>
                <c:pt idx="7">
                  <c:v>13</c:v>
                </c:pt>
                <c:pt idx="8">
                  <c:v>48</c:v>
                </c:pt>
                <c:pt idx="9">
                  <c:v>2</c:v>
                </c:pt>
                <c:pt idx="10">
                  <c:v>38</c:v>
                </c:pt>
                <c:pt idx="11">
                  <c:v>61</c:v>
                </c:pt>
                <c:pt idx="12">
                  <c:v>32</c:v>
                </c:pt>
                <c:pt idx="13">
                  <c:v>151</c:v>
                </c:pt>
                <c:pt idx="14">
                  <c:v>34</c:v>
                </c:pt>
                <c:pt idx="15">
                  <c:v>51</c:v>
                </c:pt>
              </c:numCache>
            </c:numRef>
          </c:val>
        </c:ser>
      </c:pie3DChart>
      <c:spPr>
        <a:solidFill>
          <a:srgbClr val="D9D9D9"/>
        </a:solidFill>
        <a:ln>
          <a:noFill/>
        </a:ln>
      </c:spPr>
    </c:plotArea>
    <c:plotVisOnly val="1"/>
    <c:dispBlanksAs val="zero"/>
  </c:chart>
  <c:spPr>
    <a:solidFill>
      <a:srgbClr val="FFFFFF"/>
    </a:solidFill>
    <a:ln>
      <a:noFill/>
    </a:ln>
  </c:sp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8984E-3C9A-472E-94C5-A536E86A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957</Words>
  <Characters>5458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105-1</cp:lastModifiedBy>
  <cp:revision>23</cp:revision>
  <cp:lastPrinted>2021-08-09T12:37:00Z</cp:lastPrinted>
  <dcterms:created xsi:type="dcterms:W3CDTF">2021-05-11T09:22:00Z</dcterms:created>
  <dcterms:modified xsi:type="dcterms:W3CDTF">2021-08-09T13:47:00Z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