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lang w:val="uk-UA"/>
        </w:rPr>
      </w:pPr>
      <w:r>
        <w:rPr>
          <w:rFonts w:cs="Times New Roman" w:ascii="Times New Roman" w:hAnsi="Times New Roman"/>
          <w:b/>
          <w:sz w:val="24"/>
          <w:szCs w:val="24"/>
          <w:lang w:val="uk-UA"/>
        </w:rPr>
        <w:t>Пояснювальна записка про розрахунок тарифів на 2020 рік на централізоване водопостачання, водовідведення, що надаються Комунальним підприємством «Білгород-Дністровськводоканал»</w:t>
      </w:r>
    </w:p>
    <w:p>
      <w:pPr>
        <w:pStyle w:val="Normal"/>
        <w:spacing w:lineRule="auto" w:line="240" w:before="0" w:after="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120" w:after="0"/>
        <w:ind w:firstLine="539"/>
        <w:jc w:val="both"/>
        <w:rPr>
          <w:rFonts w:ascii="Times New Roman" w:hAnsi="Times New Roman"/>
          <w:sz w:val="24"/>
          <w:szCs w:val="24"/>
        </w:rPr>
      </w:pPr>
      <w:r>
        <w:rPr>
          <w:rFonts w:cs="Times New Roman" w:ascii="Times New Roman" w:hAnsi="Times New Roman"/>
          <w:sz w:val="24"/>
          <w:szCs w:val="24"/>
          <w:lang w:val="uk-UA"/>
        </w:rPr>
        <w:t>Комунальне підприємство «Білгород-Дністровськводоканал» створено для забезпечення населення, установ та підприємств міста Білгорода-Дністровського послугами з централізованого водопостачання та водовідведення. Власником Підприємства є територіальна громада міста Білгород-Дністровського, в особі Білгород-Дністровської міської ради. Уповноваженими органами з управління підприємства є виконавчий комітет та управління житлово-комунального господарства Білгород-Дністровської міської ради</w:t>
      </w:r>
      <w:r>
        <w:rPr>
          <w:rFonts w:ascii="Times New Roman" w:hAnsi="Times New Roman"/>
          <w:sz w:val="24"/>
          <w:szCs w:val="24"/>
          <w:lang w:val="uk-UA"/>
        </w:rPr>
        <w:t>.</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Комунальне підприємство «Білгород-Дністровськводоканал» діє на підставі статуту та ліцензії на право провадження господарської діяльності з централізованого водопостачання та водовідведенняАГ № 594966 (постанова НКРЕКП від 27.05.2016 № 859).</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Основні виробничі потужності КП «Білгород-Дністровськводоканал»:</w:t>
      </w:r>
    </w:p>
    <w:p>
      <w:pPr>
        <w:pStyle w:val="ListParagraph"/>
        <w:numPr>
          <w:ilvl w:val="0"/>
          <w:numId w:val="1"/>
        </w:numPr>
        <w:spacing w:lineRule="auto" w:line="240" w:before="0" w:after="0"/>
        <w:contextualSpacing/>
        <w:rPr>
          <w:rFonts w:ascii="Times New Roman" w:hAnsi="Times New Roman"/>
          <w:sz w:val="24"/>
          <w:szCs w:val="24"/>
        </w:rPr>
      </w:pPr>
      <w:r>
        <w:rPr>
          <w:rFonts w:ascii="Times New Roman" w:hAnsi="Times New Roman"/>
          <w:sz w:val="24"/>
          <w:szCs w:val="24"/>
          <w:lang w:val="uk-UA"/>
        </w:rPr>
        <w:t>по водопостачанню:</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артезіанські свердловини глибиною підйому від 60 до 282 у кількості 41 од. загальною проектною потужністю3709,0 тис. куб. м/рік;</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водопровідні насосні станції (підкачка води) у кількості 5 од.;</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водопровідні мережі загальною протяжністю 152,5 км.</w:t>
      </w:r>
    </w:p>
    <w:p>
      <w:pPr>
        <w:pStyle w:val="ListParagraph"/>
        <w:numPr>
          <w:ilvl w:val="0"/>
          <w:numId w:val="1"/>
        </w:numPr>
        <w:spacing w:lineRule="auto" w:line="240" w:before="0" w:after="0"/>
        <w:contextualSpacing/>
        <w:rPr>
          <w:rFonts w:ascii="Times New Roman" w:hAnsi="Times New Roman"/>
          <w:sz w:val="24"/>
          <w:szCs w:val="24"/>
        </w:rPr>
      </w:pPr>
      <w:r>
        <w:rPr>
          <w:rFonts w:ascii="Times New Roman" w:hAnsi="Times New Roman"/>
          <w:sz w:val="24"/>
          <w:szCs w:val="24"/>
          <w:lang w:val="uk-UA"/>
        </w:rPr>
        <w:t>по водовідведенню:</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станція очистки стічних вод загальною проектною потужність 3600 тис. куб. м/рік;</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каналізаційні насосні станції 14 од.;</w:t>
      </w:r>
    </w:p>
    <w:p>
      <w:pPr>
        <w:pStyle w:val="ListParagraph"/>
        <w:numPr>
          <w:ilvl w:val="0"/>
          <w:numId w:val="2"/>
        </w:numPr>
        <w:spacing w:lineRule="auto" w:line="240" w:before="0" w:after="0"/>
        <w:contextualSpacing/>
        <w:rPr>
          <w:rFonts w:ascii="Times New Roman" w:hAnsi="Times New Roman"/>
          <w:sz w:val="24"/>
          <w:szCs w:val="24"/>
        </w:rPr>
      </w:pPr>
      <w:r>
        <w:rPr>
          <w:rFonts w:ascii="Times New Roman" w:hAnsi="Times New Roman"/>
          <w:sz w:val="24"/>
          <w:szCs w:val="24"/>
          <w:lang w:val="uk-UA"/>
        </w:rPr>
        <w:t>каналізаційні мережі загальною протяжністю 80,2 км.</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Необхідність зміни тарифів виникла у зв’язку з внесенням змін до Постанови Кабінету Міністрів України від 1 червня 2011 р. № 869 « Про забезпечення єдиного підходу до формування тарифів на житлово-комунальні послуги» Постановою Кабінету Міністрів України від 03.04.2019 р.№ 291 та приведенням їх до рівня економічно обґрунтованих.</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На сьогоднішній день діють тарифи встановлені рішенням виконавчого комітету Білгород-Дністровської  міської ради від 06.12.2018 р. № 460.</w:t>
      </w:r>
    </w:p>
    <w:tbl>
      <w:tblPr>
        <w:tblpPr w:bottomFromText="0" w:horzAnchor="margin" w:leftFromText="180" w:rightFromText="180" w:tblpX="0" w:tblpY="2232" w:topFromText="0" w:vertAnchor="text"/>
        <w:tblW w:w="9747"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4785"/>
        <w:gridCol w:w="1134"/>
        <w:gridCol w:w="1418"/>
        <w:gridCol w:w="1417"/>
        <w:gridCol w:w="993"/>
      </w:tblGrid>
      <w:tr>
        <w:trPr>
          <w:trHeight w:val="1025" w:hRule="atLeast"/>
        </w:trPr>
        <w:tc>
          <w:tcPr>
            <w:tcW w:w="478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bookmarkStart w:id="0" w:name="RANGE!A1"/>
            <w:r>
              <w:rPr>
                <w:rFonts w:eastAsia="Times New Roman" w:cs="Times New Roman" w:ascii="Times New Roman" w:hAnsi="Times New Roman"/>
                <w:b/>
                <w:bCs/>
                <w:color w:val="333333"/>
                <w:sz w:val="24"/>
                <w:szCs w:val="24"/>
                <w:lang w:val="uk-UA" w:eastAsia="uk-UA"/>
              </w:rPr>
              <w:t>Найменування тарифів</w:t>
            </w:r>
            <w:bookmarkEnd w:id="0"/>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 xml:space="preserve">Діючі тарифи </w:t>
            </w:r>
            <w:r>
              <w:rPr>
                <w:rFonts w:eastAsia="Times New Roman" w:cs="Times New Roman" w:ascii="Times New Roman" w:hAnsi="Times New Roman"/>
                <w:color w:val="333333"/>
                <w:sz w:val="24"/>
                <w:szCs w:val="24"/>
                <w:lang w:val="uk-UA" w:eastAsia="uk-UA"/>
              </w:rPr>
              <w:br/>
              <w:t>грн/м³ з ПДВ</w:t>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 xml:space="preserve">Плановані </w:t>
              <w:br/>
              <w:t xml:space="preserve"> тарифи</w:t>
            </w:r>
          </w:p>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на 2020 рік,</w:t>
              <w:br/>
            </w:r>
            <w:r>
              <w:rPr>
                <w:rFonts w:eastAsia="Times New Roman" w:cs="Times New Roman" w:ascii="Times New Roman" w:hAnsi="Times New Roman"/>
                <w:color w:val="333333"/>
                <w:sz w:val="24"/>
                <w:szCs w:val="24"/>
                <w:lang w:val="uk-UA" w:eastAsia="uk-UA"/>
              </w:rPr>
              <w:t>грн/м³ з ПДВ</w:t>
            </w:r>
          </w:p>
        </w:tc>
        <w:tc>
          <w:tcPr>
            <w:tcW w:w="2410" w:type="dxa"/>
            <w:gridSpan w:val="2"/>
            <w:tcBorders>
              <w:top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Відхилення планованих тарифів від діючих</w:t>
            </w:r>
          </w:p>
        </w:tc>
      </w:tr>
      <w:tr>
        <w:trPr>
          <w:trHeight w:val="394" w:hRule="atLeast"/>
        </w:trPr>
        <w:tc>
          <w:tcPr>
            <w:tcW w:w="478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spacing w:lineRule="auto" w:line="240" w:before="0" w:after="0"/>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spacing w:lineRule="auto" w:line="240" w:before="0" w:after="0"/>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spacing w:lineRule="auto" w:line="240" w:before="0" w:after="0"/>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c>
          <w:tcPr>
            <w:tcW w:w="1417" w:type="dxa"/>
            <w:tcBorders>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грн/м³</w:t>
            </w:r>
          </w:p>
        </w:tc>
        <w:tc>
          <w:tcPr>
            <w:tcW w:w="993" w:type="dxa"/>
            <w:tcBorders>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w:t>
            </w:r>
          </w:p>
        </w:tc>
      </w:tr>
      <w:tr>
        <w:trPr>
          <w:trHeight w:val="764" w:hRule="atLeast"/>
        </w:trPr>
        <w:tc>
          <w:tcPr>
            <w:tcW w:w="478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Централізоване водопостачання</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12,51</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18,42</w:t>
            </w:r>
          </w:p>
        </w:tc>
        <w:tc>
          <w:tcPr>
            <w:tcW w:w="141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5,91</w:t>
            </w:r>
          </w:p>
        </w:tc>
        <w:tc>
          <w:tcPr>
            <w:tcW w:w="99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47%</w:t>
            </w:r>
          </w:p>
        </w:tc>
      </w:tr>
      <w:tr>
        <w:trPr>
          <w:trHeight w:val="764" w:hRule="atLeast"/>
        </w:trPr>
        <w:tc>
          <w:tcPr>
            <w:tcW w:w="478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Централізоване водовідведення</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11,57</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18,16</w:t>
            </w:r>
          </w:p>
        </w:tc>
        <w:tc>
          <w:tcPr>
            <w:tcW w:w="141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6,59</w:t>
            </w:r>
          </w:p>
        </w:tc>
        <w:tc>
          <w:tcPr>
            <w:tcW w:w="99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Cs/>
                <w:color w:val="000000"/>
                <w:sz w:val="24"/>
                <w:szCs w:val="24"/>
                <w:lang w:eastAsia="uk-UA"/>
              </w:rPr>
            </w:pPr>
            <w:r>
              <w:rPr>
                <w:rFonts w:eastAsia="Times New Roman" w:cs="Times New Roman" w:ascii="Times New Roman" w:hAnsi="Times New Roman"/>
                <w:bCs/>
                <w:color w:val="000000"/>
                <w:sz w:val="24"/>
                <w:szCs w:val="24"/>
                <w:lang w:val="uk-UA" w:eastAsia="uk-UA"/>
              </w:rPr>
              <w:t>57%</w:t>
            </w:r>
          </w:p>
        </w:tc>
      </w:tr>
    </w:tbl>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Діючі</w:t>
      </w:r>
      <w:r>
        <w:rPr>
          <w:rFonts w:eastAsia="Calibri" w:cs="Times New Roman" w:ascii="Times New Roman" w:hAnsi="Times New Roman"/>
          <w:sz w:val="24"/>
          <w:szCs w:val="24"/>
          <w:lang w:val="uk-UA"/>
        </w:rPr>
        <w:t xml:space="preserve"> на сьогоднішній день тарифи </w:t>
      </w:r>
      <w:r>
        <w:rPr>
          <w:rFonts w:ascii="Times New Roman" w:hAnsi="Times New Roman"/>
          <w:sz w:val="24"/>
          <w:szCs w:val="24"/>
          <w:lang w:val="uk-UA"/>
        </w:rPr>
        <w:t>розр</w:t>
      </w:r>
      <w:r>
        <w:rPr>
          <w:rFonts w:eastAsia="Calibri" w:cs="Times New Roman" w:ascii="Times New Roman" w:hAnsi="Times New Roman"/>
          <w:sz w:val="24"/>
          <w:szCs w:val="24"/>
          <w:lang w:val="uk-UA"/>
        </w:rPr>
        <w:t xml:space="preserve">аховані відповідно до плану діяльності </w:t>
      </w:r>
      <w:r>
        <w:rPr>
          <w:rFonts w:ascii="Times New Roman" w:hAnsi="Times New Roman"/>
          <w:sz w:val="24"/>
          <w:szCs w:val="24"/>
          <w:lang w:val="uk-UA"/>
        </w:rPr>
        <w:t>КП «Білгород-Дністровськводоканал»</w:t>
      </w:r>
      <w:r>
        <w:rPr>
          <w:rFonts w:eastAsia="Calibri" w:cs="Times New Roman" w:ascii="Times New Roman" w:hAnsi="Times New Roman"/>
          <w:sz w:val="24"/>
          <w:szCs w:val="24"/>
          <w:lang w:val="uk-UA"/>
        </w:rPr>
        <w:t xml:space="preserve"> ще </w:t>
      </w:r>
      <w:r>
        <w:rPr>
          <w:rFonts w:ascii="Times New Roman" w:hAnsi="Times New Roman"/>
          <w:sz w:val="24"/>
          <w:szCs w:val="24"/>
          <w:lang w:val="uk-UA"/>
        </w:rPr>
        <w:t>на 2019</w:t>
      </w:r>
      <w:r>
        <w:rPr>
          <w:rFonts w:eastAsia="Calibri" w:cs="Times New Roman" w:ascii="Times New Roman" w:hAnsi="Times New Roman"/>
          <w:sz w:val="24"/>
          <w:szCs w:val="24"/>
          <w:lang w:val="uk-UA"/>
        </w:rPr>
        <w:t xml:space="preserve">рік. </w:t>
      </w:r>
      <w:r>
        <w:rPr>
          <w:rFonts w:ascii="Times New Roman" w:hAnsi="Times New Roman"/>
          <w:sz w:val="24"/>
          <w:szCs w:val="24"/>
          <w:lang w:val="uk-UA"/>
        </w:rPr>
        <w:t>У зв’язку зі зростанням тарифів на електроенергію та вартості інших матеріальних ресурсів, підвищенням рівня мінімальної заробітної плати працівників підприємства, діючі тарифи на централізоване водопостачання та водовідведення не відшкодовують витрати на виробництво та надання послуг.</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У таблиці нижче наведені розміри діючих та планованих тарифів.</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З метою забезпечення стабільного та якісного виробництва та надання послуг з централізованого водопостачання та водовідведення виникла загальна потреба в перегляді діючих тарифів до економічно-обґрунтованого рівня.</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Згідно з розрахунками КП «Білгород-Дністровськводоканал», що виконані відповідно до плану діяльності підприємства на 2020 рік, рівень тарифів повинен зрости в середньому на 52%. Тарифи для населення розраховані з нульовою рентабельністю. Структура тарифу з розрахунку на 1 кубічний метр на централізоване водопостачання та водовідведення наведена в таблиці:</w:t>
      </w:r>
    </w:p>
    <w:p>
      <w:pPr>
        <w:pStyle w:val="Normal"/>
        <w:spacing w:lineRule="auto" w:line="240" w:before="120" w:after="0"/>
        <w:ind w:firstLine="539"/>
        <w:jc w:val="both"/>
        <w:rPr>
          <w:rFonts w:ascii="Times New Roman" w:hAnsi="Times New Roman"/>
          <w:sz w:val="24"/>
          <w:szCs w:val="24"/>
          <w:lang w:val="uk-UA"/>
        </w:rPr>
      </w:pPr>
      <w:r>
        <w:rPr>
          <w:rFonts w:ascii="Times New Roman" w:hAnsi="Times New Roman"/>
          <w:sz w:val="24"/>
          <w:szCs w:val="24"/>
          <w:lang w:val="uk-UA"/>
        </w:rPr>
      </w:r>
    </w:p>
    <w:tbl>
      <w:tblPr>
        <w:tblW w:w="9654" w:type="dxa"/>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5637"/>
        <w:gridCol w:w="2033"/>
        <w:gridCol w:w="1984"/>
      </w:tblGrid>
      <w:tr>
        <w:trPr>
          <w:trHeight w:val="945" w:hRule="atLeast"/>
        </w:trPr>
        <w:tc>
          <w:tcPr>
            <w:tcW w:w="56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Плановані витрати за елементами</w:t>
            </w:r>
          </w:p>
        </w:tc>
        <w:tc>
          <w:tcPr>
            <w:tcW w:w="2033" w:type="dxa"/>
            <w:tcBorders>
              <w:top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Централізоване водопостачання,</w:t>
              <w:br/>
            </w:r>
            <w:r>
              <w:rPr>
                <w:rFonts w:eastAsia="Times New Roman" w:cs="Times New Roman" w:ascii="Times New Roman" w:hAnsi="Times New Roman"/>
                <w:color w:val="333333"/>
                <w:sz w:val="24"/>
                <w:szCs w:val="24"/>
                <w:lang w:val="uk-UA" w:eastAsia="uk-UA"/>
              </w:rPr>
              <w:t>грн/м³ без ПДВ</w:t>
            </w:r>
          </w:p>
        </w:tc>
        <w:tc>
          <w:tcPr>
            <w:tcW w:w="1984" w:type="dxa"/>
            <w:tcBorders>
              <w:top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Централізоване водовідведення,</w:t>
              <w:br/>
            </w:r>
            <w:r>
              <w:rPr>
                <w:rFonts w:eastAsia="Times New Roman" w:cs="Times New Roman" w:ascii="Times New Roman" w:hAnsi="Times New Roman"/>
                <w:color w:val="333333"/>
                <w:sz w:val="24"/>
                <w:szCs w:val="24"/>
                <w:lang w:val="uk-UA" w:eastAsia="uk-UA"/>
              </w:rPr>
              <w:t>грн/м³ без ПДВ</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Електроенергія</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4,63</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3,38</w:t>
            </w:r>
          </w:p>
        </w:tc>
      </w:tr>
      <w:tr>
        <w:trPr>
          <w:trHeight w:val="40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Реагенти</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0,41</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0,00</w:t>
            </w:r>
          </w:p>
        </w:tc>
      </w:tr>
      <w:tr>
        <w:trPr>
          <w:trHeight w:val="94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Ремонти (матеріали на ППР, ремонти підрядним способом, ремонт машин та механізмів, персональних комп’ютерів і оргтехніки)</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0,36</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0,52</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Витрати на оплату праці</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5,86</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7,79</w:t>
            </w:r>
          </w:p>
        </w:tc>
      </w:tr>
      <w:tr>
        <w:trPr>
          <w:trHeight w:val="630"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Єдиний внесок на загальнообов'язкове державне соціальне страхування працівників</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1,29</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1,71</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Амортизаційні відрахування</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0,43</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0,34</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 xml:space="preserve">Паливно-мастильні матеріали </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0,51</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0,34</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Податки</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1,23</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0,42</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Послуги банку за збір коштів від населення</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0,24</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0,18</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Інші витрати</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0,39</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color w:val="333333"/>
                <w:sz w:val="24"/>
                <w:szCs w:val="24"/>
                <w:lang w:eastAsia="uk-UA"/>
              </w:rPr>
            </w:pPr>
            <w:r>
              <w:rPr>
                <w:rFonts w:eastAsia="Times New Roman" w:cs="Times New Roman" w:ascii="Times New Roman" w:hAnsi="Times New Roman"/>
                <w:color w:val="333333"/>
                <w:sz w:val="24"/>
                <w:szCs w:val="24"/>
                <w:lang w:val="uk-UA" w:eastAsia="uk-UA"/>
              </w:rPr>
              <w:t>0,45</w:t>
            </w:r>
          </w:p>
        </w:tc>
      </w:tr>
      <w:tr>
        <w:trPr>
          <w:trHeight w:val="315" w:hRule="atLeas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i/>
                <w:i/>
                <w:color w:val="333333"/>
                <w:sz w:val="24"/>
                <w:szCs w:val="24"/>
                <w:lang w:eastAsia="uk-UA"/>
              </w:rPr>
            </w:pPr>
            <w:r>
              <w:rPr>
                <w:rFonts w:eastAsia="Times New Roman" w:cs="Times New Roman" w:ascii="Times New Roman" w:hAnsi="Times New Roman"/>
                <w:bCs/>
                <w:i/>
                <w:color w:val="333333"/>
                <w:sz w:val="24"/>
                <w:szCs w:val="24"/>
                <w:lang w:val="uk-UA" w:eastAsia="uk-UA"/>
              </w:rPr>
              <w:t>Середньозважений тариф (без ПДВ)</w:t>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i/>
                <w:i/>
                <w:color w:val="333333"/>
                <w:sz w:val="24"/>
                <w:szCs w:val="24"/>
                <w:lang w:eastAsia="uk-UA"/>
              </w:rPr>
            </w:pPr>
            <w:r>
              <w:rPr>
                <w:rFonts w:eastAsia="Times New Roman" w:cs="Times New Roman" w:ascii="Times New Roman" w:hAnsi="Times New Roman"/>
                <w:bCs/>
                <w:i/>
                <w:color w:val="333333"/>
                <w:sz w:val="24"/>
                <w:szCs w:val="24"/>
                <w:lang w:val="uk-UA" w:eastAsia="uk-UA"/>
              </w:rPr>
              <w:t>15,35</w:t>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i/>
                <w:i/>
                <w:color w:val="333333"/>
                <w:sz w:val="24"/>
                <w:szCs w:val="24"/>
                <w:lang w:eastAsia="uk-UA"/>
              </w:rPr>
            </w:pPr>
            <w:r>
              <w:rPr>
                <w:rFonts w:eastAsia="Times New Roman" w:cs="Times New Roman" w:ascii="Times New Roman" w:hAnsi="Times New Roman"/>
                <w:bCs/>
                <w:i/>
                <w:color w:val="333333"/>
                <w:sz w:val="24"/>
                <w:szCs w:val="24"/>
                <w:lang w:val="uk-UA" w:eastAsia="uk-UA"/>
              </w:rPr>
              <w:t>15,13</w:t>
            </w:r>
          </w:p>
        </w:tc>
      </w:tr>
      <w:tr>
        <w:trPr>
          <w:trHeight w:val="315" w:hRule="atLeast"/>
        </w:trPr>
        <w:tc>
          <w:tcPr>
            <w:tcW w:w="5637" w:type="dxa"/>
            <w:tcBorders>
              <w:left w:val="single" w:sz="4" w:space="0" w:color="000000"/>
              <w:right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333333"/>
                <w:sz w:val="24"/>
                <w:szCs w:val="24"/>
                <w:lang w:val="uk-UA" w:eastAsia="uk-UA"/>
              </w:rPr>
              <w:t>Середньозважений тариф (з ПДВ)</w:t>
            </w:r>
          </w:p>
        </w:tc>
        <w:tc>
          <w:tcPr>
            <w:tcW w:w="2033" w:type="dxa"/>
            <w:tcBorders>
              <w:right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000000"/>
                <w:sz w:val="24"/>
                <w:szCs w:val="24"/>
                <w:lang w:val="uk-UA" w:eastAsia="uk-UA"/>
              </w:rPr>
              <w:t>18,42</w:t>
            </w:r>
          </w:p>
        </w:tc>
        <w:tc>
          <w:tcPr>
            <w:tcW w:w="1984" w:type="dxa"/>
            <w:tcBorders>
              <w:right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b/>
                <w:b/>
                <w:bCs/>
                <w:color w:val="333333"/>
                <w:sz w:val="24"/>
                <w:szCs w:val="24"/>
                <w:lang w:eastAsia="uk-UA"/>
              </w:rPr>
            </w:pPr>
            <w:r>
              <w:rPr>
                <w:rFonts w:eastAsia="Times New Roman" w:cs="Times New Roman" w:ascii="Times New Roman" w:hAnsi="Times New Roman"/>
                <w:b/>
                <w:bCs/>
                <w:color w:val="000000"/>
                <w:sz w:val="24"/>
                <w:szCs w:val="24"/>
                <w:lang w:val="uk-UA" w:eastAsia="uk-UA"/>
              </w:rPr>
              <w:t>18,16</w:t>
            </w:r>
          </w:p>
        </w:tc>
      </w:tr>
      <w:tr>
        <w:trPr>
          <w:trHeight w:val="70" w:hRule="exact"/>
        </w:trPr>
        <w:tc>
          <w:tcPr>
            <w:tcW w:w="56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c>
          <w:tcPr>
            <w:tcW w:w="20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c>
          <w:tcPr>
            <w:tcW w:w="198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b/>
                <w:b/>
                <w:bCs/>
                <w:color w:val="333333"/>
                <w:sz w:val="24"/>
                <w:szCs w:val="24"/>
                <w:lang w:val="uk-UA" w:eastAsia="uk-UA"/>
              </w:rPr>
            </w:pPr>
            <w:r>
              <w:rPr>
                <w:rFonts w:eastAsia="Times New Roman" w:cs="Times New Roman" w:ascii="Times New Roman" w:hAnsi="Times New Roman"/>
                <w:b/>
                <w:bCs/>
                <w:color w:val="333333"/>
                <w:sz w:val="24"/>
                <w:szCs w:val="24"/>
                <w:lang w:val="uk-UA" w:eastAsia="uk-UA"/>
              </w:rPr>
            </w:r>
          </w:p>
        </w:tc>
      </w:tr>
    </w:tbl>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 xml:space="preserve">У порівнянні з діючим на сьогодні тарифом, у планованому тарифі на 2020 рік загальні витрати по централізованому водопостачанню та водовідведенню зросли на 14,5 млн. грн. Під час розрахунку тарифів на плановий період  враховувався прогноз індексу цін виробників промислової продукції згідно з діючою постановою Кабінета Міністрів України від 31.05.2017 р.  № 411  «Про схвалення Прогнозу економічного і соціального розвитку України на 2018-2020 роки. </w:t>
      </w:r>
    </w:p>
    <w:p>
      <w:pPr>
        <w:pStyle w:val="Normal"/>
        <w:spacing w:lineRule="auto" w:line="240" w:before="120" w:after="0"/>
        <w:ind w:firstLine="539"/>
        <w:jc w:val="both"/>
        <w:rPr>
          <w:rFonts w:ascii="Times New Roman" w:hAnsi="Times New Roman"/>
          <w:sz w:val="24"/>
          <w:szCs w:val="24"/>
        </w:rPr>
      </w:pPr>
      <w:r>
        <w:rPr>
          <w:rFonts w:ascii="Times New Roman" w:hAnsi="Times New Roman"/>
          <w:sz w:val="24"/>
          <w:szCs w:val="24"/>
          <w:lang w:val="uk-UA"/>
        </w:rPr>
        <w:t>Зміни відбулися по таким основним складовим витрат:</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електроенергію зросли на 3237,4 тис. грн., або на 39,4% порівняно з витратами, що враховані у діючих тарифах, що спричинено ростом тарифів на електричну енергію (з 191,672до 280,400коп./кВт. год без ПДВ);</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реагенти зросли на 296,3 тис. грн. (ціна на гіпохлорит натрію зросла з 7684,00 до 9733,3грн/тонн без ПДВ, або на 26,7%, та збільшення норми витрат  з 0,02 до 0,03 кг/куб.м.);</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 xml:space="preserve">витрати на ремонти зросли на 446,6 тис. грн., або на 54,3%, у зв’язку із ростом цін на матеріали для ремонтів та послуг ремонтних підрядних організацій (у планованих тарифах витрати на ремонти враховано нарівні фактичних значень за період з 01.01.19 р. по 31.01.19 р.); </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оплату праці зросли на 7321,4 тис. грн., або на 57% порівняно з витратами, що враховані у діючих тарифах. Внаслідок застосування рівня прожиткового мінімуму в розмірі 2102,0 грн, який встановлено з 01.01.2020р. відповідно до Закону України «Про Державний бюджет України на 2020 рік» (у діючих тарифах застосований рівень прожиткового мінімуму складає 1762,0 грн);</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відрахування на соціальні заходина загальнообов’язковедержавне соціальне страхування (ЄСВ) 22%;</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амортизаційні відрахування зросли на 113,5 тис. грн., або на 11,7%;</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паливно-мастильні матеріали зменшено на 130,3тис.грн, або на 8,8% порівняно з витратами, що враховані у діючих тарифах, у зв’язку зі змінами  цін на паливно-мастильні матеріали, та норм використання палива;</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сплату податків зросли на 1161,4 тис. грн., або на 88,5% порівняно з витратами, що враховані у діючих тарифах, у зв’язку зі збільшенням бази оподаткування: рентна плата за спеціальне використання води згідно зі змінами у Податковому кодексі, які набрали  чинності з 01.01.2019 р., розраховано на обсяги водокористування, включаючи обсяги реалізовані споживачам, які використовують питну воду у виробничих цілях; рентна плата за користування надрами залежить від прогнозної вартості послуг з водопостачання;</w:t>
      </w:r>
    </w:p>
    <w:p>
      <w:pPr>
        <w:pStyle w:val="ListParagraph"/>
        <w:numPr>
          <w:ilvl w:val="0"/>
          <w:numId w:val="1"/>
        </w:numPr>
        <w:spacing w:lineRule="auto" w:line="240" w:before="0" w:after="0"/>
        <w:contextualSpacing/>
        <w:jc w:val="both"/>
        <w:rPr>
          <w:rFonts w:ascii="Times New Roman" w:hAnsi="Times New Roman"/>
          <w:sz w:val="24"/>
          <w:szCs w:val="24"/>
        </w:rPr>
      </w:pPr>
      <w:r>
        <w:rPr>
          <w:rFonts w:ascii="Times New Roman" w:hAnsi="Times New Roman"/>
          <w:sz w:val="24"/>
          <w:szCs w:val="24"/>
          <w:lang w:val="uk-UA"/>
        </w:rPr>
        <w:t>витрати на послуги банку за збір коштів від населення на 203,7 тис. грн. через збільшення планових надходжень за надані послуги.</w:t>
      </w:r>
    </w:p>
    <w:p>
      <w:pPr>
        <w:pStyle w:val="Normal"/>
        <w:spacing w:lineRule="auto" w:line="240" w:before="0" w:after="0"/>
        <w:ind w:firstLine="539"/>
        <w:jc w:val="both"/>
        <w:rPr>
          <w:rFonts w:ascii="Times New Roman" w:hAnsi="Times New Roman"/>
          <w:sz w:val="24"/>
          <w:szCs w:val="24"/>
        </w:rPr>
      </w:pPr>
      <w:r>
        <w:rPr>
          <w:rFonts w:ascii="Times New Roman" w:hAnsi="Times New Roman"/>
          <w:sz w:val="24"/>
          <w:szCs w:val="24"/>
          <w:lang w:val="uk-UA"/>
        </w:rPr>
        <w:t>Тарифи для населення розраховані з нульовою рентабельністю. Для інших категорій споживачів тариф розрахований з рентабельністю (Додаток 1), а саме:</w:t>
      </w:r>
    </w:p>
    <w:p>
      <w:pPr>
        <w:pStyle w:val="Normal"/>
        <w:spacing w:lineRule="auto" w:line="240" w:before="0" w:after="0"/>
        <w:ind w:firstLine="539"/>
        <w:jc w:val="both"/>
        <w:rPr>
          <w:rFonts w:ascii="Times New Roman" w:hAnsi="Times New Roman"/>
          <w:sz w:val="24"/>
          <w:szCs w:val="24"/>
        </w:rPr>
      </w:pPr>
      <w:r>
        <w:rPr>
          <w:rFonts w:ascii="Times New Roman" w:hAnsi="Times New Roman"/>
          <w:sz w:val="24"/>
          <w:szCs w:val="24"/>
          <w:lang w:val="uk-UA"/>
        </w:rPr>
        <w:t>- бюджетні установи -15%</w:t>
      </w:r>
    </w:p>
    <w:p>
      <w:pPr>
        <w:pStyle w:val="Normal"/>
        <w:spacing w:lineRule="auto" w:line="240" w:before="0" w:after="0"/>
        <w:ind w:firstLine="539"/>
        <w:jc w:val="both"/>
        <w:rPr>
          <w:rFonts w:ascii="Times New Roman" w:hAnsi="Times New Roman"/>
          <w:sz w:val="24"/>
          <w:szCs w:val="24"/>
        </w:rPr>
      </w:pPr>
      <w:r>
        <w:rPr>
          <w:rFonts w:ascii="Times New Roman" w:hAnsi="Times New Roman"/>
          <w:sz w:val="24"/>
          <w:szCs w:val="24"/>
          <w:lang w:val="uk-UA"/>
        </w:rPr>
        <w:t>- інші споживачі-20%</w:t>
      </w:r>
    </w:p>
    <w:p>
      <w:pPr>
        <w:pStyle w:val="Normal"/>
        <w:spacing w:lineRule="auto" w:line="240" w:before="0" w:after="0"/>
        <w:ind w:firstLine="539"/>
        <w:jc w:val="both"/>
        <w:rPr>
          <w:rFonts w:ascii="Times New Roman" w:hAnsi="Times New Roman"/>
          <w:sz w:val="24"/>
          <w:szCs w:val="24"/>
        </w:rPr>
      </w:pPr>
      <w:r>
        <w:rPr>
          <w:rFonts w:ascii="Times New Roman" w:hAnsi="Times New Roman"/>
          <w:sz w:val="24"/>
          <w:szCs w:val="24"/>
          <w:lang w:val="uk-UA"/>
        </w:rPr>
        <w:t>Внаслідок невідповідності рівня діючих тарифів фактичним витратам на виробництво та надавання послуг, підприємство відчуває нестачу власних обігових коштів, отриманих від реалізації наданих послуг, у результаті чого зростає заборгованість за енергоносії,відсутня можливість своєчасно розраховуватись по податкам і зборам. Така ситуація ставить під загрозу стабільність водопостачання міста, забезпечення належного рівня відведення та очистки стоків і може спричинити припинення надання послуг з централізованого водопостачання та водовідведення споживачам через відключення підприємства від джерел електропостачання за борги, спричинить заборгованість з виплати заробітної плати працівникам та інші непередбачувані соціальні наслідки.</w:t>
      </w:r>
    </w:p>
    <w:p>
      <w:pPr>
        <w:pStyle w:val="Normal"/>
        <w:spacing w:lineRule="auto" w:line="240" w:before="0" w:after="0"/>
        <w:ind w:firstLine="539"/>
        <w:jc w:val="both"/>
        <w:rPr/>
      </w:pPr>
      <w:r>
        <w:rPr>
          <w:rFonts w:eastAsia="Calibri" w:cs="Times New Roman" w:ascii="Times New Roman" w:hAnsi="Times New Roman"/>
          <w:sz w:val="24"/>
          <w:szCs w:val="24"/>
          <w:lang w:val="uk-UA"/>
        </w:rPr>
        <w:t xml:space="preserve">Керуючись порядком доведення до споживачів інформації про тарифи на послуги з </w:t>
      </w:r>
      <w:r>
        <w:rPr>
          <w:rFonts w:cs="Times New Roman" w:ascii="Times New Roman" w:hAnsi="Times New Roman"/>
          <w:sz w:val="24"/>
          <w:szCs w:val="24"/>
          <w:lang w:val="uk-UA"/>
        </w:rPr>
        <w:t>водопостачання та водовідведення,</w:t>
      </w:r>
      <w:r>
        <w:rPr>
          <w:rFonts w:eastAsia="Calibri" w:cs="Times New Roman" w:ascii="Times New Roman" w:hAnsi="Times New Roman"/>
          <w:sz w:val="24"/>
          <w:szCs w:val="24"/>
          <w:lang w:val="uk-UA"/>
        </w:rPr>
        <w:t xml:space="preserve"> усі зауваження та пропозиції у письмовій формі підлягають реєстрації та розгляду КП «Білгород-Дністровськводоканал», надсилаються за адресою: </w:t>
      </w:r>
      <w:r>
        <w:rPr>
          <w:rFonts w:eastAsia="Calibri" w:cs="Times New Roman" w:ascii="Times New Roman" w:hAnsi="Times New Roman"/>
          <w:b/>
          <w:sz w:val="24"/>
          <w:szCs w:val="24"/>
          <w:lang w:val="uk-UA"/>
        </w:rPr>
        <w:t>67701, провулок Водопровідний, 1, м. Білгород-Дністровський</w:t>
      </w:r>
      <w:r>
        <w:rPr>
          <w:rFonts w:eastAsia="Calibri" w:cs="Times New Roman" w:ascii="Times New Roman" w:hAnsi="Times New Roman"/>
          <w:sz w:val="24"/>
          <w:szCs w:val="24"/>
          <w:lang w:val="uk-UA"/>
        </w:rPr>
        <w:t xml:space="preserve">, або на електронну адресу КП «Білгород-Дністровськводоканал» </w:t>
      </w:r>
      <w:hyperlink r:id="rId2">
        <w:r>
          <w:rPr>
            <w:rStyle w:val="Style14"/>
            <w:rFonts w:cs="Times New Roman" w:ascii="Times New Roman" w:hAnsi="Times New Roman"/>
            <w:b/>
            <w:sz w:val="24"/>
            <w:szCs w:val="24"/>
            <w:highlight w:val="white"/>
            <w:lang w:val="uk-UA"/>
          </w:rPr>
          <w:t>vodokanal-b-d@ukr.net</w:t>
        </w:r>
      </w:hyperlink>
      <w:r>
        <w:rPr>
          <w:rFonts w:cs="Times New Roman" w:ascii="Times New Roman" w:hAnsi="Times New Roman"/>
          <w:b/>
          <w:sz w:val="24"/>
          <w:szCs w:val="24"/>
          <w:u w:val="single"/>
          <w:shd w:fill="FFFFFF" w:val="clear"/>
          <w:lang w:val="uk-UA"/>
        </w:rPr>
        <w:t xml:space="preserve"> </w:t>
      </w:r>
      <w:r>
        <w:rPr>
          <w:rFonts w:cs="Times New Roman" w:ascii="Times New Roman" w:hAnsi="Times New Roman"/>
          <w:sz w:val="24"/>
          <w:szCs w:val="24"/>
          <w:shd w:fill="FFFFFF" w:val="clear"/>
          <w:lang w:val="uk-UA"/>
        </w:rPr>
        <w:t xml:space="preserve">в термін </w:t>
      </w:r>
      <w:r>
        <w:rPr>
          <w:rFonts w:cs="Times New Roman" w:ascii="Times New Roman" w:hAnsi="Times New Roman"/>
          <w:b/>
          <w:color w:val="000000"/>
          <w:sz w:val="24"/>
          <w:szCs w:val="24"/>
          <w:u w:val="single"/>
          <w:shd w:fill="FFFFFF" w:val="clear"/>
          <w:lang w:val="uk-UA"/>
        </w:rPr>
        <w:t>до 06.03.2020 року включно.</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tbl>
      <w:tblPr>
        <w:tblW w:w="9948" w:type="dxa"/>
        <w:jc w:val="left"/>
        <w:tblInd w:w="0" w:type="dxa"/>
        <w:tblBorders/>
        <w:tblCellMar>
          <w:top w:w="0" w:type="dxa"/>
          <w:left w:w="108" w:type="dxa"/>
          <w:bottom w:w="0" w:type="dxa"/>
          <w:right w:w="108" w:type="dxa"/>
        </w:tblCellMar>
        <w:tblLook w:noVBand="1" w:val="04a0" w:noHBand="0" w:lastColumn="0" w:firstColumn="1" w:lastRow="0" w:firstRow="1"/>
      </w:tblPr>
      <w:tblGrid>
        <w:gridCol w:w="3379"/>
        <w:gridCol w:w="3379"/>
        <w:gridCol w:w="3190"/>
      </w:tblGrid>
      <w:tr>
        <w:trPr/>
        <w:tc>
          <w:tcPr>
            <w:tcW w:w="3379" w:type="dxa"/>
            <w:tcBorders/>
            <w:shd w:fill="auto" w:val="clear"/>
          </w:tcPr>
          <w:p>
            <w:pPr>
              <w:pStyle w:val="Normal"/>
              <w:spacing w:lineRule="auto" w:line="240" w:before="0" w:after="0"/>
              <w:rPr>
                <w:rFonts w:ascii="Times New Roman" w:hAnsi="Times New Roman" w:eastAsia="Times New Roman"/>
                <w:b/>
                <w:b/>
                <w:sz w:val="24"/>
                <w:szCs w:val="24"/>
                <w:lang w:eastAsia="ru-RU"/>
              </w:rPr>
            </w:pPr>
            <w:r>
              <w:rPr>
                <w:rFonts w:ascii="Times New Roman" w:hAnsi="Times New Roman"/>
                <w:b/>
                <w:sz w:val="24"/>
                <w:szCs w:val="24"/>
                <w:lang w:val="uk-UA"/>
              </w:rPr>
              <w:t>Адміністрація КП  Білгород-Дністровськводоканал»</w:t>
            </w:r>
          </w:p>
        </w:tc>
        <w:tc>
          <w:tcPr>
            <w:tcW w:w="3379" w:type="dxa"/>
            <w:tcBorders/>
            <w:shd w:fill="auto" w:val="clear"/>
          </w:tcPr>
          <w:p>
            <w:pPr>
              <w:pStyle w:val="Normal"/>
              <w:spacing w:lineRule="auto" w:line="240" w:before="0" w:after="0"/>
              <w:jc w:val="center"/>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bookmarkStart w:id="1" w:name="_GoBack"/>
            <w:bookmarkStart w:id="2" w:name="_GoBack"/>
            <w:bookmarkEnd w:id="2"/>
          </w:p>
        </w:tc>
        <w:tc>
          <w:tcPr>
            <w:tcW w:w="3190" w:type="dxa"/>
            <w:tcBorders/>
            <w:shd w:fill="auto" w:val="clear"/>
          </w:tcPr>
          <w:p>
            <w:pPr>
              <w:pStyle w:val="Normal"/>
              <w:spacing w:lineRule="auto" w:line="240" w:before="0" w:after="0"/>
              <w:jc w:val="center"/>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p>
        </w:tc>
      </w:tr>
    </w:tbl>
    <w:p>
      <w:pPr>
        <w:pStyle w:val="Normal"/>
        <w:spacing w:lineRule="auto" w:line="240" w:before="0" w:after="0"/>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p>
    <w:p>
      <w:pPr>
        <w:pStyle w:val="Normal"/>
        <w:spacing w:lineRule="auto" w:line="240" w:before="0" w:after="0"/>
        <w:rPr>
          <w:lang w:val="uk-UA"/>
        </w:rPr>
      </w:pPr>
      <w:r>
        <w:rPr>
          <w:lang w:val="uk-UA"/>
        </w:rPr>
      </w:r>
    </w:p>
    <w:sectPr>
      <w:type w:val="nextPage"/>
      <w:pgSz w:w="11906" w:h="16838"/>
      <w:pgMar w:left="1701" w:right="567" w:header="0" w:top="567" w:footer="0" w:bottom="51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numFmt w:val="bullet"/>
      <w:lvlText w:val="-"/>
      <w:lvlJc w:val="left"/>
      <w:pPr>
        <w:ind w:left="1080" w:hanging="360"/>
      </w:pPr>
      <w:rPr>
        <w:rFonts w:ascii="Times New Roman" w:hAnsi="Times New Roman" w:cs="Times New Roman" w:hint="default"/>
        <w:sz w:val="24"/>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16fb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Интернет-ссылка"/>
    <w:rsid w:val="008a1a8e"/>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eastAsia="Calibri" w:cs="Times New Roman"/>
      <w:sz w:val="24"/>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Times New Roman"/>
      <w:b/>
      <w:sz w:val="24"/>
      <w:szCs w:val="24"/>
      <w:shd w:fill="FFFFFF" w:val="clear"/>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ListParagraph">
    <w:name w:val="List Paragraph"/>
    <w:basedOn w:val="Normal"/>
    <w:uiPriority w:val="34"/>
    <w:qFormat/>
    <w:rsid w:val="00335ae0"/>
    <w:pPr>
      <w:spacing w:before="0" w:after="200"/>
      <w:ind w:left="720" w:hanging="0"/>
      <w:contextualSpacing/>
    </w:pPr>
    <w:rPr/>
  </w:style>
  <w:style w:type="paragraph" w:styleId="Style20" w:customStyle="1">
    <w:name w:val="Знак Знак Знак"/>
    <w:basedOn w:val="Normal"/>
    <w:qFormat/>
    <w:rsid w:val="003020d0"/>
    <w:pPr>
      <w:spacing w:lineRule="auto" w:line="240" w:before="0" w:after="0"/>
    </w:pPr>
    <w:rPr>
      <w:rFonts w:ascii="Verdana" w:hAnsi="Verdana" w:eastAsia="Times New Roman" w:cs="Verdana"/>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odokanal-b-d@ukr.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262E-573B-434D-B595-19281638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Application>LibreOffice/6.0.7.3$Linux_X86_64 LibreOffice_project/00m0$Build-3</Application>
  <Pages>3</Pages>
  <Words>1022</Words>
  <Characters>6869</Characters>
  <CharactersWithSpaces>7798</CharactersWithSpaces>
  <Paragraphs>91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2017-11-26T08:44:00Z</dcterms:created>
  <dc:creator>1</dc:creator>
  <dc:description/>
  <dc:language>uk-UA</dc:language>
  <cp:lastModifiedBy/>
  <cp:lastPrinted>2020-02-20T07:50:00Z</cp:lastPrinted>
  <dcterms:modified xsi:type="dcterms:W3CDTF">2020-02-24T16:19:12Z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