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3"/>
        <w:rPr>
          <w:rFonts w:ascii="Arial" w:hAnsi="Arial"/>
          <w:lang w:val="uk-UA"/>
        </w:rPr>
      </w:pPr>
      <w:r>
        <w:rPr>
          <w:rFonts w:ascii="Arial" w:hAnsi="Arial"/>
          <w:lang w:val="uk-UA"/>
        </w:rPr>
        <w:t>П</w:t>
      </w:r>
      <w:r>
        <w:rPr>
          <w:rFonts w:ascii="Arial" w:hAnsi="Arial"/>
          <w:lang w:val="uk-UA"/>
        </w:rPr>
        <w:t xml:space="preserve">ерелік об’єктів комунальної власності, які підлягають приватизації </w:t>
      </w:r>
    </w:p>
    <w:p>
      <w:pPr>
        <w:pStyle w:val="Style13"/>
        <w:rPr>
          <w:rFonts w:ascii="Arial" w:hAnsi="Arial"/>
        </w:rPr>
      </w:pPr>
      <w:r>
        <w:rPr>
          <w:rFonts w:ascii="Arial" w:hAnsi="Arial"/>
        </w:rPr>
      </w:r>
    </w:p>
    <w:p>
      <w:pPr>
        <w:pStyle w:val="Style13"/>
        <w:rPr>
          <w:rFonts w:ascii="Arial" w:hAnsi="Arial"/>
          <w:lang w:val="uk-UA"/>
        </w:rPr>
      </w:pPr>
      <w:r>
        <w:rPr>
          <w:rFonts w:ascii="Arial" w:hAnsi="Arial"/>
          <w:lang w:val="uk-UA"/>
        </w:rPr>
        <w:t xml:space="preserve">Рішенням Білгород-Дністровської міської ради від 31.10.2019 р. №1026-VII затверджено  </w:t>
      </w:r>
      <w:bookmarkStart w:id="0" w:name="__DdeLink__220_628271714"/>
      <w:bookmarkEnd w:id="0"/>
      <w:r>
        <w:rPr>
          <w:rFonts w:ascii="Arial" w:hAnsi="Arial"/>
          <w:lang w:val="uk-UA"/>
        </w:rPr>
        <w:t xml:space="preserve">перелік об’єктів комунальної власності, які підлягають приватизації </w:t>
      </w:r>
    </w:p>
    <w:tbl>
      <w:tblPr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66"/>
        <w:gridCol w:w="4297"/>
        <w:gridCol w:w="2842"/>
        <w:gridCol w:w="2533"/>
      </w:tblGrid>
      <w:tr>
        <w:trPr>
          <w:cantSplit w:val="false"/>
        </w:trPr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 xml:space="preserve">№ </w:t>
            </w:r>
            <w:r>
              <w:rPr>
                <w:rFonts w:ascii="Arial" w:hAnsi="Arial"/>
                <w:lang w:val="uk-UA"/>
              </w:rPr>
              <w:t>з/п</w:t>
            </w:r>
          </w:p>
        </w:tc>
        <w:tc>
          <w:tcPr>
            <w:tcW w:w="4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Назва об’єкту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Адреса</w:t>
            </w:r>
          </w:p>
        </w:tc>
        <w:tc>
          <w:tcPr>
            <w:tcW w:w="2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Ідентифікатор об'єкта в системі Прозорро.Продажі</w:t>
            </w:r>
          </w:p>
        </w:tc>
      </w:tr>
      <w:tr>
        <w:trPr>
          <w:cantSplit w:val="false"/>
        </w:trPr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1</w:t>
            </w:r>
          </w:p>
        </w:tc>
        <w:tc>
          <w:tcPr>
            <w:tcW w:w="4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Нежитлова будівля літ. «А», загальною площею 312,6 кв.м, (70/100)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вул. Єврейська, 12</w:t>
            </w:r>
          </w:p>
        </w:tc>
        <w:tc>
          <w:tcPr>
            <w:tcW w:w="2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UA-AR-P-2019-11-08-000002-1</w:t>
            </w:r>
          </w:p>
        </w:tc>
      </w:tr>
      <w:tr>
        <w:trPr>
          <w:cantSplit w:val="false"/>
        </w:trPr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2</w:t>
            </w:r>
          </w:p>
        </w:tc>
        <w:tc>
          <w:tcPr>
            <w:tcW w:w="4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Нежитлові приміщення 2-1, 2-2 літ. «А», ¼ літ. «Г», загальною площею 14,2 кв.м, (24/100)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вул. Кишинівська, 101</w:t>
            </w:r>
          </w:p>
        </w:tc>
        <w:tc>
          <w:tcPr>
            <w:tcW w:w="2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UA-AR-P-2019-11-08-000003-1</w:t>
            </w:r>
          </w:p>
        </w:tc>
      </w:tr>
      <w:tr>
        <w:trPr>
          <w:cantSplit w:val="false"/>
        </w:trPr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3</w:t>
            </w:r>
          </w:p>
        </w:tc>
        <w:tc>
          <w:tcPr>
            <w:tcW w:w="4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Нежитлові будівлі літ. «Б», «Г», «Д», «Ж», «З», загальною площею 351,4 кв.м, (1/1)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вул. Кутузова, 23</w:t>
            </w:r>
          </w:p>
        </w:tc>
        <w:tc>
          <w:tcPr>
            <w:tcW w:w="2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UA-AR-P-2019-11-08-000004-1</w:t>
            </w:r>
          </w:p>
        </w:tc>
      </w:tr>
      <w:tr>
        <w:trPr>
          <w:cantSplit w:val="false"/>
        </w:trPr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4</w:t>
            </w:r>
          </w:p>
        </w:tc>
        <w:tc>
          <w:tcPr>
            <w:tcW w:w="4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Нежитлова будівля літ. «А», загальною площею 162,7 кв.м, (1/1)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вул. Маршала Бірюзова, 1-а</w:t>
            </w:r>
          </w:p>
        </w:tc>
        <w:tc>
          <w:tcPr>
            <w:tcW w:w="2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UA-AR-P-2019-11-08-000005-1</w:t>
            </w:r>
          </w:p>
        </w:tc>
      </w:tr>
      <w:tr>
        <w:trPr>
          <w:cantSplit w:val="false"/>
        </w:trPr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5</w:t>
            </w:r>
          </w:p>
        </w:tc>
        <w:tc>
          <w:tcPr>
            <w:tcW w:w="4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Нежитлова будівля літ. «А» прим. 3-1 – 3-13, підвал. літ «а», загальною площею 608,1 кв.м, (43/100)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вул. Миколаївська, 33</w:t>
            </w:r>
          </w:p>
        </w:tc>
        <w:tc>
          <w:tcPr>
            <w:tcW w:w="2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UA-AR-P-2019-11-08-000006-1</w:t>
            </w:r>
          </w:p>
        </w:tc>
      </w:tr>
      <w:tr>
        <w:trPr>
          <w:cantSplit w:val="false"/>
        </w:trPr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6</w:t>
            </w:r>
          </w:p>
        </w:tc>
        <w:tc>
          <w:tcPr>
            <w:tcW w:w="4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Адміністративна будівля літ. «А» прим. 1 – 8, 18, 19  загальною площею 122,4 кв.м, підвал. літ. «а», загальною площею 131,4 кв.м (33/100)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вул. Михайлівська, 50</w:t>
            </w:r>
          </w:p>
        </w:tc>
        <w:tc>
          <w:tcPr>
            <w:tcW w:w="2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UA-AR-P-2019-11-08-000007-1</w:t>
            </w:r>
          </w:p>
        </w:tc>
      </w:tr>
      <w:tr>
        <w:trPr>
          <w:cantSplit w:val="false"/>
        </w:trPr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7</w:t>
            </w:r>
          </w:p>
        </w:tc>
        <w:tc>
          <w:tcPr>
            <w:tcW w:w="4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Нежитлові будівлі літ. «А», «Б», загальною площею 480,81 кв.м, (1/1)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вул. Московська, 15</w:t>
            </w:r>
          </w:p>
        </w:tc>
        <w:tc>
          <w:tcPr>
            <w:tcW w:w="2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UA-AR-P-2019-11-08-000008-1</w:t>
            </w:r>
          </w:p>
        </w:tc>
      </w:tr>
      <w:tr>
        <w:trPr>
          <w:cantSplit w:val="false"/>
        </w:trPr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8</w:t>
            </w:r>
          </w:p>
        </w:tc>
        <w:tc>
          <w:tcPr>
            <w:tcW w:w="4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Нежитлові будівлі та споруди (будівля бібліотеки) літ. «А», загальною площею 632,87 кв.м, (1/1)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вул. Першотравнева, 70-г</w:t>
            </w:r>
          </w:p>
        </w:tc>
        <w:tc>
          <w:tcPr>
            <w:tcW w:w="2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UA-AR-P-2019-11-08-000009-1</w:t>
            </w:r>
          </w:p>
        </w:tc>
      </w:tr>
      <w:tr>
        <w:trPr>
          <w:cantSplit w:val="false"/>
        </w:trPr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9</w:t>
            </w:r>
          </w:p>
        </w:tc>
        <w:tc>
          <w:tcPr>
            <w:tcW w:w="4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Підвал літ. «г» прим. І – VI, загальною площею 152,6 кв.м, (12/100)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  <w:lang w:val="uk-UA"/>
              </w:rPr>
            </w:pPr>
            <w:r>
              <w:rPr>
                <w:rFonts w:ascii="Arial" w:hAnsi="Arial"/>
                <w:lang w:val="uk-UA"/>
              </w:rPr>
              <w:t>вул. Пушкіна, 33</w:t>
            </w:r>
          </w:p>
        </w:tc>
        <w:tc>
          <w:tcPr>
            <w:tcW w:w="2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yle13"/>
              <w:spacing w:before="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UA-AR-P-2019-11-08-000010-1</w:t>
            </w:r>
          </w:p>
        </w:tc>
      </w:tr>
    </w:tbl>
    <w:p>
      <w:pPr>
        <w:pStyle w:val="Style13"/>
        <w:spacing w:before="0" w:after="120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1080" w:right="926" w:header="0" w:top="709" w:footer="0" w:bottom="851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/>
    </w:pPrDefault>
  </w:docDefaults>
  <w:latentStyles w:count="371" w:defSemiHidden="0" w:defUIPriority="0" w:defQFormat="0" w:defUnhideWhenUsed="0" w:defLockedState="0">
    <w:lsdException w:qFormat="1" w:name="Normal"/>
    <w:lsdException w:qFormat="1" w:name="heading 1"/>
    <w:lsdException w:qFormat="1" w:name="heading 2"/>
    <w:lsdException w:unhideWhenUsed="1" w:semiHidden="1" w:qFormat="1" w:name="heading 3"/>
    <w:lsdException w:unhideWhenUsed="1" w:semiHidden="1" w:qFormat="1" w:name="heading 4"/>
    <w:lsdException w:qFormat="1" w:name="heading 5"/>
    <w:lsdException w:unhideWhenUsed="1" w:semiHidden="1" w:qFormat="1" w:name="heading 6"/>
    <w:lsdException w:unhideWhenUsed="1" w:semiHidden="1" w:qFormat="1" w:name="heading 7"/>
    <w:lsdException w:unhideWhenUsed="1" w:semiHidden="1" w:qFormat="1" w:name="heading 8"/>
    <w:lsdException w:unhideWhenUsed="1" w:semiHidden="1" w:qFormat="1" w:name="heading 9"/>
    <w:lsdException w:unhideWhenUsed="1" w:semiHidden="1" w:qFormat="1" w:name="caption"/>
    <w:lsdException w:qFormat="1" w:name="Title"/>
    <w:lsdException w:qFormat="1" w:name="Subtitle"/>
    <w:lsdException w:qFormat="1" w:name="Strong"/>
    <w:lsdException w:qFormat="1" w:name="Emphasis"/>
    <w:lsdException w:unhideWhenUsed="1" w:semiHidden="1" w:name="Normal Table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Table Theme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unhideWhenUsed="1" w:semiHidden="1" w:qFormat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c55c82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1">
    <w:name w:val="Заголовок 1"/>
    <w:basedOn w:val="Style12"/>
    <w:pPr/>
    <w:rPr/>
  </w:style>
  <w:style w:type="paragraph" w:styleId="2">
    <w:name w:val="Заголовок 2"/>
    <w:qFormat/>
    <w:rsid w:val="00c55c82"/>
    <w:basedOn w:val="Normal"/>
    <w:pPr>
      <w:keepNext/>
      <w:jc w:val="center"/>
      <w:outlineLvl w:val="1"/>
    </w:pPr>
    <w:rPr>
      <w:caps/>
      <w:sz w:val="32"/>
      <w:szCs w:val="20"/>
    </w:rPr>
  </w:style>
  <w:style w:type="paragraph" w:styleId="3">
    <w:name w:val="Заголовок 3"/>
    <w:basedOn w:val="Style12"/>
    <w:pPr/>
    <w:rPr/>
  </w:style>
  <w:style w:type="paragraph" w:styleId="5">
    <w:name w:val="Заголовок 5"/>
    <w:qFormat/>
    <w:rsid w:val="00b2477e"/>
    <w:basedOn w:val="Normal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0">
    <w:name w:val="Интернет-ссылка"/>
    <w:rsid w:val="00a51eeb"/>
    <w:rPr>
      <w:strike w:val="false"/>
      <w:dstrike w:val="false"/>
      <w:color w:val="0260D0"/>
      <w:u w:val="none"/>
      <w:effect w:val="none"/>
      <w:lang w:val="zxx" w:eastAsia="zxx" w:bidi="zxx"/>
    </w:rPr>
  </w:style>
  <w:style w:type="character" w:styleId="HTML" w:customStyle="1">
    <w:name w:val="Стандартний HTML Знак"/>
    <w:semiHidden/>
    <w:link w:val="HTML"/>
    <w:locked/>
    <w:rsid w:val="002e3640"/>
    <w:rPr>
      <w:rFonts w:ascii="Courier New" w:hAnsi="Courier New" w:cs="Courier New"/>
      <w:lang w:val="ru-RU" w:eastAsia="ru-RU" w:bidi="ar-SA"/>
    </w:rPr>
  </w:style>
  <w:style w:type="character" w:styleId="Style11" w:customStyle="1">
    <w:name w:val="Текст у виносці Знак"/>
    <w:link w:val="a7"/>
    <w:rsid w:val="00a855ac"/>
    <w:rPr>
      <w:rFonts w:ascii="Segoe UI" w:hAnsi="Segoe UI" w:cs="Segoe UI"/>
      <w:sz w:val="18"/>
      <w:szCs w:val="18"/>
    </w:rPr>
  </w:style>
  <w:style w:type="paragraph" w:styleId="Style12">
    <w:name w:val="Заголовок"/>
    <w:basedOn w:val="Normal"/>
    <w:next w:val="Style13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3">
    <w:name w:val="Основной текст"/>
    <w:rsid w:val="00b2477e"/>
    <w:basedOn w:val="Normal"/>
    <w:pPr>
      <w:spacing w:lineRule="auto" w:line="288" w:before="0" w:after="120"/>
    </w:pPr>
    <w:rPr/>
  </w:style>
  <w:style w:type="paragraph" w:styleId="Style14">
    <w:name w:val="Список"/>
    <w:basedOn w:val="Style13"/>
    <w:pPr/>
    <w:rPr>
      <w:rFonts w:cs="FreeSans"/>
    </w:rPr>
  </w:style>
  <w:style w:type="paragraph" w:styleId="Style15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6">
    <w:name w:val="Указатель"/>
    <w:basedOn w:val="Normal"/>
    <w:pPr>
      <w:suppressLineNumbers/>
    </w:pPr>
    <w:rPr>
      <w:rFonts w:cs="FreeSans"/>
    </w:rPr>
  </w:style>
  <w:style w:type="paragraph" w:styleId="Style17">
    <w:name w:val="Заглавие"/>
    <w:qFormat/>
    <w:rsid w:val="00c55c82"/>
    <w:basedOn w:val="Normal"/>
    <w:pPr>
      <w:jc w:val="center"/>
    </w:pPr>
    <w:rPr>
      <w:sz w:val="32"/>
      <w:szCs w:val="20"/>
    </w:rPr>
  </w:style>
  <w:style w:type="paragraph" w:styleId="Style18">
    <w:name w:val="Основной текст с отступом"/>
    <w:rsid w:val="00c55c82"/>
    <w:basedOn w:val="Normal"/>
    <w:pPr>
      <w:ind w:left="0" w:right="0" w:firstLine="851"/>
      <w:jc w:val="both"/>
    </w:pPr>
    <w:rPr>
      <w:szCs w:val="20"/>
      <w:lang w:val="uk-UA"/>
    </w:rPr>
  </w:style>
  <w:style w:type="paragraph" w:styleId="HTMLPreformatted">
    <w:name w:val="HTML Preformatted"/>
    <w:link w:val="HTML0"/>
    <w:rsid w:val="0094042b"/>
    <w:basedOn w:val="Normal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link w:val="a8"/>
    <w:rsid w:val="00a855ac"/>
    <w:basedOn w:val="Normal"/>
    <w:pPr/>
    <w:rPr>
      <w:rFonts w:ascii="Segoe UI" w:hAnsi="Segoe UI" w:cs="Segoe UI"/>
      <w:sz w:val="18"/>
      <w:szCs w:val="18"/>
    </w:rPr>
  </w:style>
  <w:style w:type="paragraph" w:styleId="Rvps6" w:customStyle="1">
    <w:name w:val="rvps6"/>
    <w:rsid w:val="008370fe"/>
    <w:basedOn w:val="Normal"/>
    <w:pPr>
      <w:spacing w:before="0" w:after="280"/>
    </w:pPr>
    <w:rPr>
      <w:lang w:val="en-US" w:eastAsia="en-US"/>
    </w:rPr>
  </w:style>
  <w:style w:type="paragraph" w:styleId="Style19">
    <w:name w:val="Содержимое врезки"/>
    <w:basedOn w:val="Normal"/>
    <w:pPr/>
    <w:rPr/>
  </w:style>
  <w:style w:type="paragraph" w:styleId="Style20">
    <w:name w:val="Цитата"/>
    <w:basedOn w:val="Normal"/>
    <w:pPr/>
    <w:rPr/>
  </w:style>
  <w:style w:type="paragraph" w:styleId="Style21">
    <w:name w:val="Подзаголовок"/>
    <w:basedOn w:val="Style12"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2019-11-13T08:59:00Z</dcterms:created>
  <dc:creator>User</dc:creator>
  <dc:language>ru-RU</dc:language>
  <cp:lastModifiedBy>Пользователь Windows</cp:lastModifiedBy>
  <cp:lastPrinted>2018-05-02T06:12:00Z</cp:lastPrinted>
  <dcterms:modified xsi:type="dcterms:W3CDTF">2019-11-13T09:19:00Z</dcterms:modified>
  <cp:revision>4</cp:revision>
  <dc:title>БІЛГОРОД-ДНІСТРОВСЬКА</dc:title>
</cp:coreProperties>
</file>