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sz w:val="28"/>
          <w:szCs w:val="28"/>
          <w:lang w:val="uk-UA"/>
        </w:rPr>
      </w:pPr>
      <w:r>
        <w:rPr>
          <w:sz w:val="28"/>
          <w:szCs w:val="28"/>
          <w:lang w:val="uk-UA"/>
        </w:rPr>
      </w:r>
    </w:p>
    <w:p>
      <w:pPr>
        <w:pStyle w:val="Normal"/>
        <w:jc w:val="center"/>
        <w:rPr>
          <w:b/>
          <w:lang w:val="uk-UA"/>
        </w:rPr>
      </w:pPr>
      <w:r>
        <w:rPr>
          <w:b/>
          <w:lang w:val="uk-UA"/>
        </w:rPr>
        <w:t>Пояснювальна записка</w:t>
      </w:r>
    </w:p>
    <w:p>
      <w:pPr>
        <w:pStyle w:val="Normal"/>
        <w:rPr>
          <w:sz w:val="22"/>
          <w:szCs w:val="22"/>
          <w:lang w:val="uk-UA"/>
        </w:rPr>
      </w:pPr>
      <w:r>
        <w:rPr>
          <w:sz w:val="22"/>
          <w:szCs w:val="22"/>
          <w:lang w:val="uk-UA"/>
        </w:rPr>
        <w:t xml:space="preserve">  </w:t>
      </w:r>
      <w:r>
        <w:rPr>
          <w:sz w:val="22"/>
          <w:szCs w:val="22"/>
          <w:lang w:val="uk-UA"/>
        </w:rPr>
        <w:t>Основними проблемними питаннями розвитку підприємства КП «БДТЕ» - залишається відсутність необхідних коштів на подальше виконання робіт по збільшенню енергоефективності при використання обладнання установленого на котельної вул. Перемоги, 2, яка забезпечує тепловою енергією 89% усіх споживачів міста підключених до системи централізованого опалення підприємства та заміна сталевих труб на попередньо ізольовані пінополіуретаном, існуючих магістральних та розподільчих теплових мереж від котельної, які вже експлуатуються понад 30 років ( 29490 м в однотрубному вимірі, з них магістральних діаметром від 219мм до 530мм – 4492м, розподільчих діаметром від 32мм до 159мм -24998м.  Пропускна спроможність теплових мереж, при існуючому температурному графіку подачі теплоносія 90-70</w:t>
      </w:r>
      <w:r>
        <w:rPr>
          <w:sz w:val="22"/>
          <w:szCs w:val="22"/>
          <w:vertAlign w:val="superscript"/>
          <w:lang w:val="uk-UA"/>
        </w:rPr>
        <w:t>0</w:t>
      </w:r>
      <w:r>
        <w:rPr>
          <w:sz w:val="22"/>
          <w:szCs w:val="22"/>
          <w:lang w:val="uk-UA"/>
        </w:rPr>
        <w:t xml:space="preserve">С вже недостатня, для забезпечення потрібної кількості подачі носія в окремих точках приєднаних споживачів міста. </w:t>
      </w:r>
    </w:p>
    <w:p>
      <w:pPr>
        <w:pStyle w:val="Normal"/>
        <w:rPr>
          <w:sz w:val="22"/>
          <w:szCs w:val="22"/>
          <w:lang w:val="uk-UA"/>
        </w:rPr>
      </w:pPr>
      <w:r>
        <w:rPr>
          <w:sz w:val="22"/>
          <w:szCs w:val="22"/>
          <w:lang w:val="uk-UA"/>
        </w:rPr>
        <w:t xml:space="preserve">     </w:t>
      </w:r>
      <w:r>
        <w:rPr>
          <w:sz w:val="22"/>
          <w:szCs w:val="22"/>
          <w:lang w:val="uk-UA"/>
        </w:rPr>
        <w:t xml:space="preserve">На даний час на котельної вул. Перемоги, 2 встановлено 6 котлів, з яких тільки один котел КВ-ГМ-30-150 №4, після проведеного у 2015-2017 р. р.  капітального ремонту з заміною колекторів та труб  конвективної та радіаційної частини котла та їх обмурівки може працювати надійно. Котли КВ-ГМ- 30-150 №5, №6 з часу монтажу відпрацювали понад 25 років (по паспортним даним термін експлуатації складає 20 років). Тому органами Держгірпромнагляду експлуатація даних котлів обмежена та дозволена: котел № 5 тільки до 20.04.2020 р., котел №6 до 16.05.2020 р. </w:t>
      </w:r>
    </w:p>
    <w:p>
      <w:pPr>
        <w:pStyle w:val="Normal"/>
        <w:rPr>
          <w:sz w:val="22"/>
          <w:szCs w:val="22"/>
          <w:lang w:val="uk-UA"/>
        </w:rPr>
      </w:pPr>
      <w:r>
        <w:rPr>
          <w:sz w:val="22"/>
          <w:szCs w:val="22"/>
          <w:lang w:val="uk-UA"/>
        </w:rPr>
        <w:t xml:space="preserve">     </w:t>
      </w:r>
      <w:r>
        <w:rPr>
          <w:sz w:val="22"/>
          <w:szCs w:val="22"/>
          <w:lang w:val="uk-UA"/>
        </w:rPr>
        <w:t xml:space="preserve">В приміщені парової частини котельної вул. Перемоги, 2 встановлені 3 парових котла, які після встановлення обладнання для провадження на котельної хімічної деаерації мережної води замість термічної, законсервовані і не працюють 10 років (котел ДЕ 10-14 ГМ №1, №2, ДЕ 4-14 №3). Використання їх на даний час , для виробництва теплової енергії поки не можливе. </w:t>
      </w:r>
    </w:p>
    <w:p>
      <w:pPr>
        <w:pStyle w:val="Normal"/>
        <w:rPr>
          <w:sz w:val="22"/>
          <w:szCs w:val="22"/>
          <w:lang w:val="uk-UA"/>
        </w:rPr>
      </w:pPr>
      <w:r>
        <w:rPr>
          <w:sz w:val="22"/>
          <w:szCs w:val="22"/>
          <w:lang w:val="uk-UA"/>
        </w:rPr>
        <w:t xml:space="preserve">   </w:t>
      </w:r>
      <w:r>
        <w:rPr>
          <w:sz w:val="22"/>
          <w:szCs w:val="22"/>
          <w:lang w:val="uk-UA"/>
        </w:rPr>
        <w:t>Розроблена Інвестиційна програма (ІП) КП «БДТЕ» на 2019 рік, була погоджена рішенням Виконавчого комітету Білгород-Дністровською міської ради та схвалена Одеською обласною державною адміністрацією, передбачала наступні заходи:</w:t>
      </w:r>
    </w:p>
    <w:p>
      <w:pPr>
        <w:pStyle w:val="ListParagraph"/>
        <w:numPr>
          <w:ilvl w:val="0"/>
          <w:numId w:val="3"/>
        </w:numPr>
        <w:suppressAutoHyphens w:val="true"/>
        <w:spacing w:lineRule="auto" w:line="276"/>
        <w:rPr>
          <w:sz w:val="22"/>
          <w:szCs w:val="22"/>
          <w:lang w:val="uk-UA"/>
        </w:rPr>
      </w:pPr>
      <w:r>
        <w:rPr>
          <w:sz w:val="22"/>
          <w:szCs w:val="22"/>
          <w:lang w:val="uk-UA"/>
        </w:rPr>
        <w:t xml:space="preserve"> </w:t>
      </w:r>
      <w:r>
        <w:rPr>
          <w:b/>
          <w:sz w:val="22"/>
          <w:szCs w:val="22"/>
          <w:lang w:val="uk-UA"/>
        </w:rPr>
        <w:t>При транспортування теплової енергії.</w:t>
      </w:r>
      <w:r>
        <w:rPr>
          <w:sz w:val="22"/>
          <w:szCs w:val="22"/>
          <w:lang w:val="uk-UA"/>
        </w:rPr>
        <w:t xml:space="preserve"> </w:t>
      </w:r>
    </w:p>
    <w:p>
      <w:pPr>
        <w:pStyle w:val="Normal"/>
        <w:ind w:left="0" w:right="-143" w:hanging="0"/>
        <w:jc w:val="both"/>
        <w:rPr>
          <w:sz w:val="22"/>
          <w:szCs w:val="22"/>
          <w:lang w:val="uk-UA"/>
        </w:rPr>
      </w:pPr>
      <w:r>
        <w:rPr>
          <w:sz w:val="22"/>
          <w:szCs w:val="22"/>
          <w:lang w:val="uk-UA"/>
        </w:rPr>
        <w:t>Додаток №1</w:t>
      </w:r>
    </w:p>
    <w:tbl>
      <w:tblPr>
        <w:jc w:val="left"/>
        <w:tblInd w:w="-328" w:type="dxa"/>
        <w:tblBorders>
          <w:top w:val="single" w:sz="4" w:space="0" w:color="000001"/>
          <w:left w:val="single" w:sz="4" w:space="0" w:color="000001"/>
          <w:bottom w:val="single" w:sz="4" w:space="0" w:color="000001"/>
          <w:insideH w:val="single" w:sz="4" w:space="0" w:color="000001"/>
          <w:right w:val="single" w:sz="4" w:space="0" w:color="000001"/>
          <w:insideV w:val="single" w:sz="4" w:space="0" w:color="000001"/>
        </w:tblBorders>
        <w:tblCellMar>
          <w:top w:w="0" w:type="dxa"/>
          <w:left w:w="98" w:type="dxa"/>
          <w:bottom w:w="0" w:type="dxa"/>
          <w:right w:w="108" w:type="dxa"/>
        </w:tblCellMar>
      </w:tblPr>
      <w:tblGrid>
        <w:gridCol w:w="560"/>
        <w:gridCol w:w="2814"/>
        <w:gridCol w:w="1416"/>
        <w:gridCol w:w="1968"/>
        <w:gridCol w:w="1683"/>
        <w:gridCol w:w="1445"/>
      </w:tblGrid>
      <w:tr>
        <w:trPr>
          <w:trHeight w:val="558" w:hRule="atLeast"/>
          <w:cantSplit w:val="true"/>
        </w:trPr>
        <w:tc>
          <w:tcPr>
            <w:tcW w:w="56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t>№</w:t>
            </w:r>
          </w:p>
          <w:p>
            <w:pPr>
              <w:pStyle w:val="Normal"/>
              <w:ind w:left="0" w:right="-143" w:hanging="0"/>
              <w:jc w:val="center"/>
              <w:rPr>
                <w:sz w:val="22"/>
                <w:szCs w:val="22"/>
                <w:lang w:val="uk-UA"/>
              </w:rPr>
            </w:pPr>
            <w:r>
              <w:rPr>
                <w:sz w:val="22"/>
                <w:szCs w:val="22"/>
                <w:lang w:val="uk-UA"/>
              </w:rPr>
              <w:t>п/п</w:t>
            </w:r>
          </w:p>
        </w:tc>
        <w:tc>
          <w:tcPr>
            <w:tcW w:w="281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t>Найменування заходу</w:t>
            </w:r>
          </w:p>
          <w:p>
            <w:pPr>
              <w:pStyle w:val="Normal"/>
              <w:rPr>
                <w:sz w:val="22"/>
                <w:szCs w:val="22"/>
                <w:lang w:val="uk-UA"/>
              </w:rPr>
            </w:pPr>
            <w:r>
              <w:rPr>
                <w:sz w:val="22"/>
                <w:szCs w:val="22"/>
                <w:lang w:val="uk-UA"/>
              </w:rPr>
            </w:r>
          </w:p>
          <w:p>
            <w:pPr>
              <w:pStyle w:val="Normal"/>
              <w:rPr>
                <w:sz w:val="22"/>
                <w:szCs w:val="22"/>
                <w:lang w:val="uk-UA"/>
              </w:rPr>
            </w:pPr>
            <w:r>
              <w:rPr>
                <w:sz w:val="22"/>
                <w:szCs w:val="22"/>
                <w:lang w:val="uk-UA"/>
              </w:rPr>
            </w:r>
          </w:p>
        </w:tc>
        <w:tc>
          <w:tcPr>
            <w:tcW w:w="141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t xml:space="preserve">Об’єм  фінансування, тис. грн. </w:t>
            </w:r>
          </w:p>
        </w:tc>
        <w:tc>
          <w:tcPr>
            <w:tcW w:w="1968" w:type="dxa"/>
            <w:tcBorders>
              <w:top w:val="single" w:sz="4" w:space="0" w:color="000001"/>
              <w:left w:val="single" w:sz="4" w:space="0" w:color="000001"/>
              <w:bottom w:val="single" w:sz="4" w:space="0" w:color="000001"/>
              <w:insideH w:val="single" w:sz="4" w:space="0" w:color="000001"/>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t>Кількісні показники</w:t>
            </w:r>
          </w:p>
          <w:p>
            <w:pPr>
              <w:pStyle w:val="Normal"/>
              <w:ind w:left="0" w:right="-143" w:hanging="0"/>
              <w:jc w:val="center"/>
              <w:rPr>
                <w:sz w:val="22"/>
                <w:szCs w:val="22"/>
                <w:lang w:val="uk-UA"/>
              </w:rPr>
            </w:pPr>
            <w:r>
              <w:rPr>
                <w:sz w:val="22"/>
                <w:szCs w:val="22"/>
                <w:lang w:val="uk-UA"/>
              </w:rPr>
              <w:t>в однотрубному</w:t>
            </w:r>
          </w:p>
          <w:p>
            <w:pPr>
              <w:pStyle w:val="Normal"/>
              <w:ind w:left="0" w:right="-143" w:hanging="0"/>
              <w:jc w:val="center"/>
              <w:rPr>
                <w:sz w:val="22"/>
                <w:szCs w:val="22"/>
                <w:lang w:val="uk-UA"/>
              </w:rPr>
            </w:pPr>
            <w:r>
              <w:rPr>
                <w:sz w:val="22"/>
                <w:szCs w:val="22"/>
                <w:lang w:val="uk-UA"/>
              </w:rPr>
              <w:t>вимірі,</w:t>
            </w:r>
          </w:p>
          <w:p>
            <w:pPr>
              <w:pStyle w:val="Normal"/>
              <w:ind w:left="0" w:right="-143" w:hanging="0"/>
              <w:jc w:val="center"/>
              <w:rPr>
                <w:sz w:val="22"/>
                <w:szCs w:val="22"/>
                <w:lang w:val="uk-UA"/>
              </w:rPr>
            </w:pPr>
            <w:r>
              <w:rPr>
                <w:sz w:val="22"/>
                <w:szCs w:val="22"/>
                <w:lang w:val="uk-UA"/>
              </w:rPr>
              <w:t>м.п.</w:t>
            </w:r>
          </w:p>
        </w:tc>
        <w:tc>
          <w:tcPr>
            <w:tcW w:w="1683" w:type="dxa"/>
            <w:tcBorders>
              <w:top w:val="single" w:sz="4" w:space="0" w:color="000001"/>
              <w:left w:val="single" w:sz="4" w:space="0" w:color="00000A"/>
              <w:bottom w:val="single" w:sz="4" w:space="0" w:color="000001"/>
              <w:insideH w:val="single" w:sz="4" w:space="0" w:color="000001"/>
              <w:right w:val="single" w:sz="4" w:space="0" w:color="00000A"/>
              <w:insideV w:val="single" w:sz="4" w:space="0" w:color="00000A"/>
            </w:tcBorders>
            <w:shd w:fill="FFFFFF" w:val="clear"/>
            <w:tcMar>
              <w:left w:w="98" w:type="dxa"/>
            </w:tcMar>
          </w:tcPr>
          <w:p>
            <w:pPr>
              <w:pStyle w:val="Normal"/>
              <w:jc w:val="center"/>
              <w:rPr>
                <w:sz w:val="22"/>
                <w:szCs w:val="22"/>
                <w:lang w:val="uk-UA"/>
              </w:rPr>
            </w:pPr>
            <w:r>
              <w:rPr>
                <w:sz w:val="22"/>
                <w:szCs w:val="22"/>
                <w:lang w:val="uk-UA"/>
              </w:rPr>
              <w:t>Економія ПЕР,</w:t>
            </w:r>
          </w:p>
          <w:p>
            <w:pPr>
              <w:pStyle w:val="Normal"/>
              <w:jc w:val="center"/>
              <w:rPr>
                <w:sz w:val="22"/>
                <w:szCs w:val="22"/>
                <w:lang w:val="uk-UA"/>
              </w:rPr>
            </w:pPr>
            <w:r>
              <w:rPr>
                <w:sz w:val="22"/>
                <w:szCs w:val="22"/>
                <w:lang w:val="uk-UA"/>
              </w:rPr>
              <w:t>т.у.п.</w:t>
            </w:r>
          </w:p>
        </w:tc>
        <w:tc>
          <w:tcPr>
            <w:tcW w:w="1445" w:type="dxa"/>
            <w:tcBorders>
              <w:top w:val="single" w:sz="4" w:space="0" w:color="000001"/>
              <w:left w:val="single" w:sz="4" w:space="0" w:color="00000A"/>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t>Економія</w:t>
            </w:r>
          </w:p>
          <w:p>
            <w:pPr>
              <w:pStyle w:val="Normal"/>
              <w:ind w:left="0" w:right="-143" w:hanging="0"/>
              <w:jc w:val="center"/>
              <w:rPr>
                <w:sz w:val="22"/>
                <w:szCs w:val="22"/>
                <w:lang w:val="uk-UA"/>
              </w:rPr>
            </w:pPr>
            <w:r>
              <w:rPr>
                <w:sz w:val="22"/>
                <w:szCs w:val="22"/>
                <w:lang w:val="uk-UA"/>
              </w:rPr>
              <w:t>тис.грн./рік</w:t>
            </w:r>
          </w:p>
          <w:p>
            <w:pPr>
              <w:pStyle w:val="Normal"/>
              <w:ind w:left="0" w:right="-143" w:hanging="0"/>
              <w:jc w:val="center"/>
              <w:rPr>
                <w:sz w:val="22"/>
                <w:szCs w:val="22"/>
                <w:lang w:val="uk-UA"/>
              </w:rPr>
            </w:pPr>
            <w:r>
              <w:rPr>
                <w:sz w:val="22"/>
                <w:szCs w:val="22"/>
                <w:lang w:val="uk-UA"/>
              </w:rPr>
              <w:t>без ПДВ</w:t>
            </w:r>
          </w:p>
          <w:p>
            <w:pPr>
              <w:pStyle w:val="Normal"/>
              <w:jc w:val="center"/>
              <w:rPr>
                <w:sz w:val="22"/>
                <w:szCs w:val="22"/>
                <w:lang w:val="uk-UA"/>
              </w:rPr>
            </w:pPr>
            <w:r>
              <w:rPr>
                <w:sz w:val="22"/>
                <w:szCs w:val="22"/>
                <w:lang w:val="uk-UA"/>
              </w:rPr>
            </w:r>
          </w:p>
        </w:tc>
      </w:tr>
      <w:tr>
        <w:trPr>
          <w:cantSplit w:val="true"/>
        </w:trPr>
        <w:tc>
          <w:tcPr>
            <w:tcW w:w="56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1.</w:t>
            </w:r>
          </w:p>
        </w:tc>
        <w:tc>
          <w:tcPr>
            <w:tcW w:w="281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rPr>
                <w:sz w:val="22"/>
                <w:szCs w:val="22"/>
                <w:lang w:val="uk-UA"/>
              </w:rPr>
            </w:pPr>
            <w:r>
              <w:rPr>
                <w:sz w:val="22"/>
                <w:szCs w:val="22"/>
                <w:lang w:val="uk-UA"/>
              </w:rPr>
              <w:t>Модернізація магістральних теплових мереж із заміною сталевих труб, прокладених в непрохідних ж / б каналах 2dx219 мм, на попередньо ізольовані пінополіуретаном в поліетиленовій оболонці 2dx219/315 мм, вул. Кишинівська, від Тк7-53 до Тк7-56, м. Білгород-Дністровський, Одеська область.</w:t>
            </w:r>
          </w:p>
        </w:tc>
        <w:tc>
          <w:tcPr>
            <w:tcW w:w="141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1100,00</w:t>
            </w:r>
          </w:p>
        </w:tc>
        <w:tc>
          <w:tcPr>
            <w:tcW w:w="1968" w:type="dxa"/>
            <w:tcBorders>
              <w:top w:val="single" w:sz="4" w:space="0" w:color="000001"/>
              <w:left w:val="single" w:sz="4" w:space="0" w:color="000001"/>
              <w:bottom w:val="single" w:sz="4" w:space="0" w:color="000001"/>
              <w:insideH w:val="single" w:sz="4" w:space="0" w:color="000001"/>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326,00</w:t>
            </w:r>
          </w:p>
        </w:tc>
        <w:tc>
          <w:tcPr>
            <w:tcW w:w="1683" w:type="dxa"/>
            <w:tcBorders>
              <w:top w:val="single" w:sz="4" w:space="0" w:color="000001"/>
              <w:left w:val="single" w:sz="4" w:space="0" w:color="00000A"/>
              <w:bottom w:val="single" w:sz="4" w:space="0" w:color="000001"/>
              <w:insideH w:val="single" w:sz="4" w:space="0" w:color="000001"/>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3,64</w:t>
            </w:r>
          </w:p>
        </w:tc>
        <w:tc>
          <w:tcPr>
            <w:tcW w:w="1445" w:type="dxa"/>
            <w:tcBorders>
              <w:top w:val="single" w:sz="4" w:space="0" w:color="000001"/>
              <w:left w:val="single" w:sz="4" w:space="0" w:color="00000A"/>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26,07</w:t>
            </w:r>
          </w:p>
        </w:tc>
      </w:tr>
      <w:tr>
        <w:trPr>
          <w:trHeight w:val="270" w:hRule="atLeast"/>
          <w:cantSplit w:val="true"/>
        </w:trPr>
        <w:tc>
          <w:tcPr>
            <w:tcW w:w="560" w:type="dxa"/>
            <w:tcBorders>
              <w:top w:val="single" w:sz="4" w:space="0" w:color="000001"/>
              <w:left w:val="single" w:sz="4" w:space="0" w:color="000001"/>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2.</w:t>
            </w:r>
          </w:p>
        </w:tc>
        <w:tc>
          <w:tcPr>
            <w:tcW w:w="2814" w:type="dxa"/>
            <w:tcBorders>
              <w:top w:val="single" w:sz="4" w:space="0" w:color="000001"/>
              <w:left w:val="single" w:sz="4" w:space="0" w:color="000001"/>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rPr>
                <w:sz w:val="22"/>
                <w:szCs w:val="22"/>
                <w:lang w:val="uk-UA"/>
              </w:rPr>
            </w:pPr>
            <w:r>
              <w:rPr>
                <w:sz w:val="22"/>
                <w:szCs w:val="22"/>
                <w:lang w:val="uk-UA"/>
              </w:rPr>
              <w:t>«Капітальний ремонт розподільчих теплових мереж із заміною сталевих труб на попередньо ізольовані від ТК1-11С до житлових будинків вул. Перемоги, №12,№13 »</w:t>
            </w:r>
          </w:p>
        </w:tc>
        <w:tc>
          <w:tcPr>
            <w:tcW w:w="1416" w:type="dxa"/>
            <w:tcBorders>
              <w:top w:val="single" w:sz="4" w:space="0" w:color="000001"/>
              <w:left w:val="single" w:sz="4" w:space="0" w:color="000001"/>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742,76</w:t>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tc>
        <w:tc>
          <w:tcPr>
            <w:tcW w:w="1968" w:type="dxa"/>
            <w:tcBorders>
              <w:top w:val="single" w:sz="4" w:space="0" w:color="000001"/>
              <w:left w:val="single" w:sz="4" w:space="0" w:color="000001"/>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511,70</w:t>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tc>
        <w:tc>
          <w:tcPr>
            <w:tcW w:w="1683" w:type="dxa"/>
            <w:tcBorders>
              <w:top w:val="single" w:sz="4" w:space="0" w:color="000001"/>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 xml:space="preserve">4,52 </w:t>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tc>
        <w:tc>
          <w:tcPr>
            <w:tcW w:w="1445" w:type="dxa"/>
            <w:tcBorders>
              <w:top w:val="single" w:sz="4" w:space="0" w:color="000001"/>
              <w:left w:val="single" w:sz="4" w:space="0" w:color="00000A"/>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32,36</w:t>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tc>
      </w:tr>
      <w:tr>
        <w:trPr>
          <w:trHeight w:val="1179" w:hRule="atLeast"/>
          <w:cantSplit w:val="true"/>
        </w:trPr>
        <w:tc>
          <w:tcPr>
            <w:tcW w:w="560" w:type="dxa"/>
            <w:tcBorders>
              <w:top w:val="single" w:sz="4" w:space="0" w:color="00000A"/>
              <w:left w:val="single" w:sz="4" w:space="0" w:color="000001"/>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3.</w:t>
            </w:r>
          </w:p>
        </w:tc>
        <w:tc>
          <w:tcPr>
            <w:tcW w:w="2814" w:type="dxa"/>
            <w:tcBorders>
              <w:top w:val="single" w:sz="4" w:space="0" w:color="00000A"/>
              <w:left w:val="single" w:sz="4" w:space="0" w:color="000001"/>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rPr>
                <w:sz w:val="22"/>
                <w:szCs w:val="22"/>
                <w:lang w:val="uk-UA"/>
              </w:rPr>
            </w:pPr>
            <w:r>
              <w:rPr>
                <w:sz w:val="22"/>
                <w:szCs w:val="22"/>
                <w:lang w:val="uk-UA"/>
              </w:rPr>
              <w:t>Аварійний ремонт  ділянки теплових мереж по провулку Кирова, м. Білгород-Дністровський, одеська область».</w:t>
            </w:r>
          </w:p>
        </w:tc>
        <w:tc>
          <w:tcPr>
            <w:tcW w:w="1416" w:type="dxa"/>
            <w:tcBorders>
              <w:top w:val="single" w:sz="4" w:space="0" w:color="00000A"/>
              <w:left w:val="single" w:sz="4" w:space="0" w:color="000001"/>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648,34</w:t>
            </w:r>
          </w:p>
        </w:tc>
        <w:tc>
          <w:tcPr>
            <w:tcW w:w="1968" w:type="dxa"/>
            <w:tcBorders>
              <w:top w:val="single" w:sz="4" w:space="0" w:color="00000A"/>
              <w:left w:val="single" w:sz="4" w:space="0" w:color="000001"/>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298,10</w:t>
            </w:r>
          </w:p>
        </w:tc>
        <w:tc>
          <w:tcPr>
            <w:tcW w:w="168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2,29</w:t>
            </w:r>
          </w:p>
        </w:tc>
        <w:tc>
          <w:tcPr>
            <w:tcW w:w="1445" w:type="dxa"/>
            <w:tcBorders>
              <w:top w:val="single" w:sz="4" w:space="0" w:color="00000A"/>
              <w:left w:val="single" w:sz="4" w:space="0" w:color="00000A"/>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16,40</w:t>
            </w:r>
          </w:p>
        </w:tc>
      </w:tr>
      <w:tr>
        <w:trPr>
          <w:trHeight w:val="2459" w:hRule="atLeast"/>
          <w:cantSplit w:val="true"/>
        </w:trPr>
        <w:tc>
          <w:tcPr>
            <w:tcW w:w="560" w:type="dxa"/>
            <w:tcBorders>
              <w:top w:val="single" w:sz="4" w:space="0" w:color="00000A"/>
              <w:left w:val="single" w:sz="4" w:space="0" w:color="000001"/>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keepLines/>
              <w:jc w:val="center"/>
              <w:rPr>
                <w:sz w:val="22"/>
                <w:szCs w:val="22"/>
                <w:lang w:val="uk-UA"/>
              </w:rPr>
            </w:pPr>
            <w:r>
              <w:rPr>
                <w:sz w:val="22"/>
                <w:szCs w:val="22"/>
                <w:lang w:val="uk-UA"/>
              </w:rPr>
            </w:r>
          </w:p>
          <w:p>
            <w:pPr>
              <w:pStyle w:val="Normal"/>
              <w:keepLines/>
              <w:jc w:val="center"/>
              <w:rPr>
                <w:sz w:val="22"/>
                <w:szCs w:val="22"/>
                <w:lang w:val="uk-UA"/>
              </w:rPr>
            </w:pPr>
            <w:r>
              <w:rPr>
                <w:sz w:val="22"/>
                <w:szCs w:val="22"/>
                <w:lang w:val="uk-UA"/>
              </w:rPr>
              <w:t>4.</w:t>
            </w:r>
          </w:p>
        </w:tc>
        <w:tc>
          <w:tcPr>
            <w:tcW w:w="2814" w:type="dxa"/>
            <w:tcBorders>
              <w:top w:val="single" w:sz="4" w:space="0" w:color="00000A"/>
              <w:left w:val="single" w:sz="4" w:space="0" w:color="000001"/>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keepLines/>
              <w:rPr>
                <w:spacing w:val="-3"/>
                <w:sz w:val="22"/>
                <w:szCs w:val="22"/>
                <w:lang w:val="uk-UA"/>
              </w:rPr>
            </w:pPr>
            <w:r>
              <w:rPr>
                <w:spacing w:val="-3"/>
                <w:sz w:val="22"/>
                <w:szCs w:val="22"/>
                <w:lang w:val="uk-UA"/>
              </w:rPr>
              <w:t xml:space="preserve">Капітальний  ремонт ділянки теплових мереж,  із заміною сталевих труб на попередньо ізольовані </w:t>
            </w:r>
            <w:r>
              <w:rPr>
                <w:sz w:val="22"/>
                <w:szCs w:val="22"/>
                <w:lang w:val="uk-UA"/>
              </w:rPr>
              <w:t xml:space="preserve">в поліетиленовій оболонці </w:t>
            </w:r>
            <w:r>
              <w:rPr>
                <w:spacing w:val="-3"/>
                <w:sz w:val="22"/>
                <w:szCs w:val="22"/>
                <w:lang w:val="uk-UA"/>
              </w:rPr>
              <w:t>від ТК 8-7 до житлових будинків вул.. Шабська, 1а, 1б,</w:t>
            </w:r>
            <w:r>
              <w:rPr>
                <w:spacing w:val="-3"/>
                <w:sz w:val="22"/>
                <w:szCs w:val="22"/>
              </w:rPr>
              <w:t xml:space="preserve"> </w:t>
            </w:r>
            <w:r>
              <w:rPr>
                <w:spacing w:val="-3"/>
                <w:sz w:val="22"/>
                <w:szCs w:val="22"/>
                <w:lang w:val="uk-UA"/>
              </w:rPr>
              <w:t xml:space="preserve">(Аварійний стан) </w:t>
            </w:r>
            <w:r>
              <w:rPr>
                <w:spacing w:val="-3"/>
                <w:sz w:val="22"/>
                <w:szCs w:val="22"/>
              </w:rPr>
              <w:t>м</w:t>
            </w:r>
            <w:r>
              <w:rPr>
                <w:spacing w:val="-3"/>
                <w:sz w:val="22"/>
                <w:szCs w:val="22"/>
                <w:lang w:val="uk-UA"/>
              </w:rPr>
              <w:t>.</w:t>
            </w:r>
            <w:r>
              <w:rPr>
                <w:spacing w:val="-3"/>
                <w:sz w:val="22"/>
                <w:szCs w:val="22"/>
              </w:rPr>
              <w:t xml:space="preserve"> Білгород - Дністровський, Одеська область</w:t>
            </w:r>
            <w:r>
              <w:rPr>
                <w:spacing w:val="-3"/>
                <w:sz w:val="22"/>
                <w:szCs w:val="22"/>
                <w:lang w:val="uk-UA"/>
              </w:rPr>
              <w:t>».</w:t>
            </w:r>
          </w:p>
        </w:tc>
        <w:tc>
          <w:tcPr>
            <w:tcW w:w="1416" w:type="dxa"/>
            <w:tcBorders>
              <w:top w:val="single" w:sz="4" w:space="0" w:color="00000A"/>
              <w:left w:val="single" w:sz="4" w:space="0" w:color="000001"/>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700,00</w:t>
            </w:r>
          </w:p>
          <w:p>
            <w:pPr>
              <w:pStyle w:val="Normal"/>
              <w:ind w:left="0" w:right="-143" w:hanging="0"/>
              <w:jc w:val="center"/>
              <w:rPr>
                <w:sz w:val="22"/>
                <w:szCs w:val="22"/>
                <w:lang w:val="uk-UA"/>
              </w:rPr>
            </w:pPr>
            <w:r>
              <w:rPr>
                <w:sz w:val="22"/>
                <w:szCs w:val="22"/>
                <w:lang w:val="uk-UA"/>
              </w:rPr>
            </w:r>
          </w:p>
        </w:tc>
        <w:tc>
          <w:tcPr>
            <w:tcW w:w="1968" w:type="dxa"/>
            <w:tcBorders>
              <w:top w:val="single" w:sz="4" w:space="0" w:color="00000A"/>
              <w:left w:val="single" w:sz="4" w:space="0" w:color="000001"/>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515,20</w:t>
            </w:r>
          </w:p>
        </w:tc>
        <w:tc>
          <w:tcPr>
            <w:tcW w:w="168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4,94</w:t>
            </w:r>
          </w:p>
        </w:tc>
        <w:tc>
          <w:tcPr>
            <w:tcW w:w="1445" w:type="dxa"/>
            <w:tcBorders>
              <w:top w:val="single" w:sz="4" w:space="0" w:color="00000A"/>
              <w:left w:val="single" w:sz="4" w:space="0" w:color="00000A"/>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35,34</w:t>
            </w:r>
          </w:p>
          <w:p>
            <w:pPr>
              <w:pStyle w:val="Normal"/>
              <w:ind w:left="0" w:right="-143" w:hanging="0"/>
              <w:jc w:val="center"/>
              <w:rPr>
                <w:sz w:val="22"/>
                <w:szCs w:val="22"/>
                <w:lang w:val="uk-UA"/>
              </w:rPr>
            </w:pPr>
            <w:r>
              <w:rPr>
                <w:sz w:val="22"/>
                <w:szCs w:val="22"/>
                <w:lang w:val="uk-UA"/>
              </w:rPr>
            </w:r>
          </w:p>
        </w:tc>
      </w:tr>
      <w:tr>
        <w:trPr>
          <w:trHeight w:val="826" w:hRule="atLeast"/>
          <w:cantSplit w:val="true"/>
        </w:trPr>
        <w:tc>
          <w:tcPr>
            <w:tcW w:w="560" w:type="dxa"/>
            <w:tcBorders>
              <w:top w:val="single" w:sz="4" w:space="0" w:color="00000A"/>
              <w:left w:val="single" w:sz="4" w:space="0" w:color="000001"/>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5.</w:t>
            </w:r>
          </w:p>
          <w:p>
            <w:pPr>
              <w:pStyle w:val="Normal"/>
              <w:ind w:left="0" w:right="-143" w:hanging="0"/>
              <w:jc w:val="center"/>
              <w:rPr>
                <w:sz w:val="22"/>
                <w:szCs w:val="22"/>
                <w:lang w:val="uk-UA"/>
              </w:rPr>
            </w:pPr>
            <w:r>
              <w:rPr>
                <w:sz w:val="22"/>
                <w:szCs w:val="22"/>
                <w:lang w:val="uk-UA"/>
              </w:rPr>
            </w:r>
          </w:p>
        </w:tc>
        <w:tc>
          <w:tcPr>
            <w:tcW w:w="2814" w:type="dxa"/>
            <w:tcBorders>
              <w:top w:val="single" w:sz="4" w:space="0" w:color="00000A"/>
              <w:left w:val="single" w:sz="4" w:space="0" w:color="000001"/>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rPr>
                <w:bCs/>
                <w:color w:val="000000"/>
                <w:sz w:val="22"/>
                <w:szCs w:val="22"/>
              </w:rPr>
            </w:pPr>
            <w:r>
              <w:rPr>
                <w:bCs/>
                <w:color w:val="000000"/>
                <w:sz w:val="22"/>
                <w:szCs w:val="22"/>
              </w:rPr>
              <w:t>" Капітальний ремонт ділянки теплових мереж, із  заміною сталевих труб на попередньоізольовані  в поліетиленовій оболонці вул. Міхайлівська (Гороо) від Тк 7-12 до Тк7-20 (аварійний стан)".</w:t>
            </w:r>
          </w:p>
        </w:tc>
        <w:tc>
          <w:tcPr>
            <w:tcW w:w="1416" w:type="dxa"/>
            <w:tcBorders>
              <w:top w:val="single" w:sz="4" w:space="0" w:color="00000A"/>
              <w:left w:val="single" w:sz="4" w:space="0" w:color="000001"/>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538,00</w:t>
            </w:r>
          </w:p>
        </w:tc>
        <w:tc>
          <w:tcPr>
            <w:tcW w:w="1968" w:type="dxa"/>
            <w:tcBorders>
              <w:top w:val="single" w:sz="4" w:space="0" w:color="00000A"/>
              <w:left w:val="single" w:sz="4" w:space="0" w:color="000001"/>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236,00</w:t>
            </w:r>
          </w:p>
        </w:tc>
        <w:tc>
          <w:tcPr>
            <w:tcW w:w="168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1,95</w:t>
            </w:r>
          </w:p>
        </w:tc>
        <w:tc>
          <w:tcPr>
            <w:tcW w:w="1445" w:type="dxa"/>
            <w:tcBorders>
              <w:top w:val="single" w:sz="4" w:space="0" w:color="00000A"/>
              <w:left w:val="single" w:sz="4" w:space="0" w:color="00000A"/>
              <w:bottom w:val="single" w:sz="4" w:space="0" w:color="00000A"/>
              <w:insideH w:val="single" w:sz="4" w:space="0" w:color="00000A"/>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13,93</w:t>
            </w:r>
          </w:p>
        </w:tc>
      </w:tr>
      <w:tr>
        <w:trPr>
          <w:trHeight w:val="344" w:hRule="atLeast"/>
          <w:cantSplit w:val="true"/>
        </w:trPr>
        <w:tc>
          <w:tcPr>
            <w:tcW w:w="560" w:type="dxa"/>
            <w:tcBorders>
              <w:top w:val="single" w:sz="4" w:space="0" w:color="00000A"/>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6.</w:t>
            </w:r>
          </w:p>
        </w:tc>
        <w:tc>
          <w:tcPr>
            <w:tcW w:w="2814" w:type="dxa"/>
            <w:tcBorders>
              <w:top w:val="single" w:sz="4" w:space="0" w:color="00000A"/>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tbl>
            <w:tblPr>
              <w:jc w:val="center"/>
              <w:tblInd w:w="0" w:type="dxa"/>
              <w:tblBorders>
                <w:top w:val="nil"/>
                <w:left w:val="nil"/>
                <w:bottom w:val="nil"/>
                <w:insideH w:val="nil"/>
                <w:right w:val="nil"/>
                <w:insideV w:val="nil"/>
              </w:tblBorders>
              <w:tblCellMar>
                <w:top w:w="0" w:type="dxa"/>
                <w:left w:w="28" w:type="dxa"/>
                <w:bottom w:w="0" w:type="dxa"/>
                <w:right w:w="28" w:type="dxa"/>
              </w:tblCellMar>
            </w:tblPr>
            <w:tblGrid>
              <w:gridCol w:w="15083"/>
            </w:tblGrid>
            <w:tr>
              <w:trPr>
                <w:cantSplit w:val="true"/>
              </w:trPr>
              <w:tc>
                <w:tcPr>
                  <w:tcW w:w="15083" w:type="dxa"/>
                  <w:tcBorders>
                    <w:top w:val="nil"/>
                    <w:left w:val="nil"/>
                    <w:bottom w:val="nil"/>
                    <w:insideH w:val="nil"/>
                    <w:right w:val="nil"/>
                    <w:insideV w:val="nil"/>
                  </w:tcBorders>
                  <w:shd w:fill="FFFFFF" w:val="clear"/>
                </w:tcPr>
                <w:p>
                  <w:pPr>
                    <w:pStyle w:val="Normal"/>
                    <w:rPr>
                      <w:bCs/>
                      <w:sz w:val="22"/>
                      <w:szCs w:val="22"/>
                    </w:rPr>
                  </w:pPr>
                  <w:r>
                    <w:rPr>
                      <w:bCs/>
                      <w:sz w:val="22"/>
                      <w:szCs w:val="22"/>
                    </w:rPr>
                    <w:t>"Капітальний  ремонт теплових мереж,  вул. Перемоги,25 (аварійний стан)".</w:t>
                  </w:r>
                </w:p>
              </w:tc>
            </w:tr>
          </w:tbl>
          <w:p>
            <w:pPr>
              <w:pStyle w:val="Normal"/>
              <w:ind w:left="0" w:right="-143" w:hanging="0"/>
              <w:rPr>
                <w:spacing w:val="-3"/>
                <w:sz w:val="22"/>
                <w:szCs w:val="22"/>
                <w:lang w:val="uk-UA"/>
              </w:rPr>
            </w:pPr>
            <w:r>
              <w:rPr>
                <w:spacing w:val="-3"/>
                <w:sz w:val="22"/>
                <w:szCs w:val="22"/>
                <w:lang w:val="uk-UA"/>
              </w:rPr>
            </w:r>
          </w:p>
        </w:tc>
        <w:tc>
          <w:tcPr>
            <w:tcW w:w="1416" w:type="dxa"/>
            <w:tcBorders>
              <w:top w:val="single" w:sz="4" w:space="0" w:color="00000A"/>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550,00</w:t>
            </w:r>
          </w:p>
        </w:tc>
        <w:tc>
          <w:tcPr>
            <w:tcW w:w="1968" w:type="dxa"/>
            <w:tcBorders>
              <w:top w:val="single" w:sz="4" w:space="0" w:color="00000A"/>
              <w:left w:val="single" w:sz="4" w:space="0" w:color="000001"/>
              <w:bottom w:val="single" w:sz="4" w:space="0" w:color="000001"/>
              <w:insideH w:val="single" w:sz="4" w:space="0" w:color="000001"/>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562,20</w:t>
            </w:r>
          </w:p>
        </w:tc>
        <w:tc>
          <w:tcPr>
            <w:tcW w:w="1683" w:type="dxa"/>
            <w:tcBorders>
              <w:top w:val="single" w:sz="4" w:space="0" w:color="00000A"/>
              <w:left w:val="single" w:sz="4" w:space="0" w:color="00000A"/>
              <w:bottom w:val="single" w:sz="4" w:space="0" w:color="000001"/>
              <w:insideH w:val="single" w:sz="4" w:space="0" w:color="000001"/>
              <w:right w:val="single" w:sz="4" w:space="0" w:color="00000A"/>
              <w:insideV w:val="single" w:sz="4" w:space="0" w:color="00000A"/>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4,25</w:t>
            </w:r>
          </w:p>
        </w:tc>
        <w:tc>
          <w:tcPr>
            <w:tcW w:w="1445" w:type="dxa"/>
            <w:tcBorders>
              <w:top w:val="single" w:sz="4" w:space="0" w:color="00000A"/>
              <w:left w:val="single" w:sz="4" w:space="0" w:color="00000A"/>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p>
            <w:pPr>
              <w:pStyle w:val="Normal"/>
              <w:ind w:left="0" w:right="-143" w:hanging="0"/>
              <w:jc w:val="center"/>
              <w:rPr>
                <w:sz w:val="22"/>
                <w:szCs w:val="22"/>
                <w:lang w:val="uk-UA"/>
              </w:rPr>
            </w:pPr>
            <w:r>
              <w:rPr>
                <w:sz w:val="22"/>
                <w:szCs w:val="22"/>
                <w:lang w:val="uk-UA"/>
              </w:rPr>
              <w:t>30,39</w:t>
            </w:r>
          </w:p>
        </w:tc>
      </w:tr>
      <w:tr>
        <w:trPr>
          <w:trHeight w:val="280" w:hRule="atLeast"/>
          <w:cantSplit w:val="true"/>
        </w:trPr>
        <w:tc>
          <w:tcPr>
            <w:tcW w:w="560" w:type="dxa"/>
            <w:tcBorders>
              <w:top w:val="single" w:sz="4" w:space="0" w:color="00000A"/>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sz w:val="22"/>
                <w:szCs w:val="22"/>
                <w:lang w:val="uk-UA"/>
              </w:rPr>
            </w:pPr>
            <w:r>
              <w:rPr>
                <w:sz w:val="22"/>
                <w:szCs w:val="22"/>
                <w:lang w:val="uk-UA"/>
              </w:rPr>
            </w:r>
          </w:p>
        </w:tc>
        <w:tc>
          <w:tcPr>
            <w:tcW w:w="2814" w:type="dxa"/>
            <w:tcBorders>
              <w:top w:val="single" w:sz="4" w:space="0" w:color="00000A"/>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both"/>
              <w:rPr>
                <w:b/>
                <w:sz w:val="22"/>
                <w:szCs w:val="22"/>
                <w:lang w:val="uk-UA"/>
              </w:rPr>
            </w:pPr>
            <w:r>
              <w:rPr>
                <w:b/>
                <w:sz w:val="22"/>
                <w:szCs w:val="22"/>
                <w:lang w:val="uk-UA"/>
              </w:rPr>
              <w:t>Разом:</w:t>
            </w:r>
          </w:p>
        </w:tc>
        <w:tc>
          <w:tcPr>
            <w:tcW w:w="1416" w:type="dxa"/>
            <w:tcBorders>
              <w:top w:val="single" w:sz="4" w:space="0" w:color="00000A"/>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b/>
                <w:sz w:val="22"/>
                <w:szCs w:val="22"/>
                <w:lang w:val="uk-UA"/>
              </w:rPr>
            </w:pPr>
            <w:r>
              <w:rPr>
                <w:b/>
                <w:sz w:val="22"/>
                <w:szCs w:val="22"/>
                <w:lang w:val="uk-UA"/>
              </w:rPr>
              <w:t>4279,10</w:t>
            </w:r>
          </w:p>
        </w:tc>
        <w:tc>
          <w:tcPr>
            <w:tcW w:w="1968" w:type="dxa"/>
            <w:tcBorders>
              <w:top w:val="single" w:sz="4" w:space="0" w:color="00000A"/>
              <w:left w:val="single" w:sz="4" w:space="0" w:color="000001"/>
              <w:bottom w:val="single" w:sz="4" w:space="0" w:color="000001"/>
              <w:insideH w:val="single" w:sz="4" w:space="0" w:color="000001"/>
              <w:right w:val="single" w:sz="4" w:space="0" w:color="00000A"/>
              <w:insideV w:val="single" w:sz="4" w:space="0" w:color="00000A"/>
            </w:tcBorders>
            <w:shd w:fill="FFFFFF" w:val="clear"/>
            <w:tcMar>
              <w:left w:w="98" w:type="dxa"/>
            </w:tcMar>
          </w:tcPr>
          <w:p>
            <w:pPr>
              <w:pStyle w:val="Normal"/>
              <w:ind w:left="0" w:right="-143" w:hanging="0"/>
              <w:jc w:val="center"/>
              <w:rPr>
                <w:b/>
                <w:sz w:val="22"/>
                <w:szCs w:val="22"/>
                <w:lang w:val="uk-UA"/>
              </w:rPr>
            </w:pPr>
            <w:r>
              <w:rPr>
                <w:b/>
                <w:sz w:val="22"/>
                <w:szCs w:val="22"/>
                <w:lang w:val="uk-UA"/>
              </w:rPr>
              <w:t>2449,20</w:t>
            </w:r>
          </w:p>
        </w:tc>
        <w:tc>
          <w:tcPr>
            <w:tcW w:w="1683" w:type="dxa"/>
            <w:tcBorders>
              <w:top w:val="single" w:sz="4" w:space="0" w:color="00000A"/>
              <w:left w:val="single" w:sz="4" w:space="0" w:color="00000A"/>
              <w:bottom w:val="single" w:sz="4" w:space="0" w:color="000001"/>
              <w:insideH w:val="single" w:sz="4" w:space="0" w:color="000001"/>
              <w:right w:val="single" w:sz="4" w:space="0" w:color="00000A"/>
              <w:insideV w:val="single" w:sz="4" w:space="0" w:color="00000A"/>
            </w:tcBorders>
            <w:shd w:fill="FFFFFF" w:val="clear"/>
            <w:tcMar>
              <w:left w:w="98" w:type="dxa"/>
            </w:tcMar>
          </w:tcPr>
          <w:p>
            <w:pPr>
              <w:pStyle w:val="Normal"/>
              <w:ind w:left="0" w:right="-143" w:hanging="0"/>
              <w:jc w:val="center"/>
              <w:rPr>
                <w:b/>
                <w:sz w:val="22"/>
                <w:szCs w:val="22"/>
                <w:lang w:val="uk-UA"/>
              </w:rPr>
            </w:pPr>
            <w:r>
              <w:rPr>
                <w:b/>
                <w:sz w:val="22"/>
                <w:szCs w:val="22"/>
                <w:lang w:val="uk-UA"/>
              </w:rPr>
              <w:t>21,59</w:t>
            </w:r>
          </w:p>
        </w:tc>
        <w:tc>
          <w:tcPr>
            <w:tcW w:w="1445" w:type="dxa"/>
            <w:tcBorders>
              <w:top w:val="single" w:sz="4" w:space="0" w:color="00000A"/>
              <w:left w:val="single" w:sz="4" w:space="0" w:color="00000A"/>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ind w:left="0" w:right="-143" w:hanging="0"/>
              <w:jc w:val="center"/>
              <w:rPr>
                <w:b/>
                <w:sz w:val="22"/>
                <w:szCs w:val="22"/>
                <w:lang w:val="uk-UA"/>
              </w:rPr>
            </w:pPr>
            <w:r>
              <w:rPr>
                <w:b/>
                <w:sz w:val="22"/>
                <w:szCs w:val="22"/>
                <w:lang w:val="uk-UA"/>
              </w:rPr>
              <w:t>154,49</w:t>
            </w:r>
          </w:p>
          <w:p>
            <w:pPr>
              <w:pStyle w:val="Normal"/>
              <w:ind w:left="0" w:right="-143" w:hanging="0"/>
              <w:jc w:val="center"/>
              <w:rPr>
                <w:b/>
                <w:sz w:val="22"/>
                <w:szCs w:val="22"/>
                <w:lang w:val="uk-UA"/>
              </w:rPr>
            </w:pPr>
            <w:r>
              <w:rPr>
                <w:b/>
                <w:sz w:val="22"/>
                <w:szCs w:val="22"/>
                <w:lang w:val="uk-UA"/>
              </w:rPr>
            </w:r>
          </w:p>
        </w:tc>
      </w:tr>
    </w:tbl>
    <w:p>
      <w:pPr>
        <w:pStyle w:val="Normal"/>
        <w:ind w:left="0" w:right="-143" w:hanging="0"/>
        <w:jc w:val="both"/>
        <w:rPr>
          <w:sz w:val="22"/>
          <w:szCs w:val="22"/>
          <w:lang w:val="uk-UA"/>
        </w:rPr>
      </w:pPr>
      <w:r>
        <w:rPr>
          <w:b/>
          <w:sz w:val="22"/>
          <w:szCs w:val="22"/>
          <w:lang w:val="uk-UA"/>
        </w:rPr>
        <w:t xml:space="preserve">        </w:t>
      </w:r>
      <w:r>
        <w:rPr>
          <w:b/>
          <w:sz w:val="22"/>
          <w:szCs w:val="22"/>
          <w:lang w:val="uk-UA"/>
        </w:rPr>
        <w:t>Роботи виконані в повному обсязі, по всім об’єктам</w:t>
      </w:r>
      <w:r>
        <w:rPr>
          <w:sz w:val="22"/>
          <w:szCs w:val="22"/>
          <w:lang w:val="uk-UA"/>
        </w:rPr>
        <w:t xml:space="preserve"> . Загальна протяжність замінених існуючих сталевих труб на попередньо ізольовані  пінополіуретаном склала  – 313,10+500,20+282,80+486+476,40+238+44+38,8=2379,30 м (в однотрубному вимірі), або 105,70%.Згідно листа КП «БДТЕ» міському голові №01-1-213 від 23.04.2019 року, за бюджетні кошти у сумі -  1250,00 тис. грн.,після проведення тендерних процедур, планувалось виконати заміну труб в однотрубному вимірі згідно ІП КП «БДТЕ» протяжністю – 2250 м.  Крім того, підприємством виконані аварійні роботи по заміні труб по вул.. Енгельса, Франко, ф219/315мм, протяжністю - 38,80м, вул. Перемоги,29 , ф 89/160мм – 44 м, на загальну суму – 48,135+71,822=119,957 тис. грн. Вартість виконаних робіт по капітальному ремонту теплових мереж після проведення тендерних процедур по закупівлі труб та комплектуючих до них, зменшилась та склала – 2189,02 тис. грн.,  без ПДВ.(2626,824 тис. грн. з ПДВ). На поточний ремонт, обладнання котелень, було витрачено – 957,165 тис. грн., власні кошти.  Це дало можливість заощадити 21,90 т. у. п., або 156,76 тис. грн. щорічно). </w:t>
      </w:r>
    </w:p>
    <w:p>
      <w:pPr>
        <w:pStyle w:val="Normal"/>
        <w:rPr>
          <w:b/>
          <w:sz w:val="22"/>
          <w:szCs w:val="22"/>
          <w:lang w:val="uk-UA"/>
        </w:rPr>
      </w:pPr>
      <w:r>
        <w:rPr>
          <w:sz w:val="22"/>
          <w:szCs w:val="22"/>
          <w:lang w:val="uk-UA"/>
        </w:rPr>
        <w:t xml:space="preserve">2.  </w:t>
      </w:r>
      <w:r>
        <w:rPr>
          <w:b/>
          <w:sz w:val="22"/>
          <w:szCs w:val="22"/>
          <w:lang w:val="uk-UA"/>
        </w:rPr>
        <w:t>Заходи при виробництві теплової енергії. Програмою передбачалось:</w:t>
      </w:r>
    </w:p>
    <w:p>
      <w:pPr>
        <w:pStyle w:val="Normal"/>
        <w:rPr>
          <w:sz w:val="22"/>
          <w:szCs w:val="22"/>
          <w:lang w:val="uk-UA"/>
        </w:rPr>
      </w:pPr>
      <w:r>
        <w:rPr>
          <w:sz w:val="22"/>
          <w:szCs w:val="22"/>
          <w:lang w:val="uk-UA"/>
        </w:rPr>
        <w:t>- «Модернізація котла КВ-ГМ-30-150 №6, для несення малих навантажень – 20,00 Гкал/годину, котельня вул. Перемоги,2 , на загальну суму – 4300,00 тис. грн.. Котел експлуатується понад 25 років, нормативний термін його експлуатації згідно паспорту складає 20років, стан його незадовільний.</w:t>
      </w:r>
    </w:p>
    <w:p>
      <w:pPr>
        <w:pStyle w:val="Normal"/>
        <w:ind w:left="142" w:right="0" w:hanging="0"/>
        <w:rPr>
          <w:sz w:val="22"/>
          <w:szCs w:val="22"/>
          <w:lang w:val="uk-UA"/>
        </w:rPr>
      </w:pPr>
      <w:r>
        <w:rPr>
          <w:sz w:val="22"/>
          <w:szCs w:val="22"/>
          <w:lang w:val="uk-UA"/>
        </w:rPr>
        <w:t xml:space="preserve">      </w:t>
      </w:r>
      <w:r>
        <w:rPr>
          <w:sz w:val="22"/>
          <w:szCs w:val="22"/>
          <w:lang w:val="uk-UA"/>
        </w:rPr>
        <w:t>Роботи не розпочати, із-за відсутності коштів на підприємстві, та спів фінансування з місцевого бюджету у сумі – 3260,00 тис. грн.. Заборгованість підприємства  перед ПАТ «Нафтогаз Україною» за спожитий газ  було погашено 05.10.2019 року.</w:t>
      </w:r>
    </w:p>
    <w:p>
      <w:pPr>
        <w:pStyle w:val="Normal"/>
        <w:rPr>
          <w:sz w:val="22"/>
          <w:szCs w:val="22"/>
          <w:lang w:val="uk-UA"/>
        </w:rPr>
      </w:pPr>
      <w:r>
        <w:rPr>
          <w:sz w:val="22"/>
          <w:szCs w:val="22"/>
          <w:lang w:val="uk-UA"/>
        </w:rPr>
        <w:t xml:space="preserve">      </w:t>
      </w:r>
      <w:r>
        <w:rPr>
          <w:b/>
          <w:sz w:val="22"/>
          <w:szCs w:val="22"/>
          <w:lang w:val="uk-UA"/>
        </w:rPr>
        <w:t>Для зменшення експлуатаційних витрат за рахунок економії ПЕР</w:t>
      </w:r>
      <w:r>
        <w:rPr>
          <w:sz w:val="22"/>
          <w:szCs w:val="22"/>
          <w:lang w:val="uk-UA"/>
        </w:rPr>
        <w:t>, більш надійного та якісного тепло забезпечення споживачів міста теплової енергією, від системи централізованого теплопостачання, в опалювальному сезоні 2020-2021 року, КП «БДТЕ» пропанує, виконати заходи інвестиційної програми КП «БДТЕ» на 2020 рік.  Загальний обсяг робіт  складає – 7502,23 тис. грн., з них:</w:t>
      </w:r>
    </w:p>
    <w:p>
      <w:pPr>
        <w:pStyle w:val="ListParagraph"/>
        <w:numPr>
          <w:ilvl w:val="0"/>
          <w:numId w:val="2"/>
        </w:numPr>
        <w:suppressAutoHyphens w:val="true"/>
        <w:rPr>
          <w:sz w:val="22"/>
          <w:szCs w:val="22"/>
          <w:lang w:val="uk-UA"/>
        </w:rPr>
      </w:pPr>
      <w:r>
        <w:rPr>
          <w:sz w:val="22"/>
          <w:szCs w:val="22"/>
          <w:lang w:val="uk-UA"/>
        </w:rPr>
        <w:t>Власні кошти підприємства , передбачені у діючих тарифах, за рахунок амортизаційних відрахувань, складають – 2842,50 тис. грн., без ПДВ.</w:t>
      </w:r>
    </w:p>
    <w:p>
      <w:pPr>
        <w:pStyle w:val="ListParagraph"/>
        <w:numPr>
          <w:ilvl w:val="0"/>
          <w:numId w:val="1"/>
        </w:numPr>
        <w:suppressAutoHyphens w:val="true"/>
        <w:rPr>
          <w:sz w:val="22"/>
          <w:szCs w:val="22"/>
          <w:lang w:val="uk-UA"/>
        </w:rPr>
      </w:pPr>
      <w:r>
        <w:rPr>
          <w:sz w:val="22"/>
          <w:szCs w:val="22"/>
          <w:lang w:val="uk-UA"/>
        </w:rPr>
        <w:t>при виробництві теплової енергії - 914,40 тис. грн.</w:t>
      </w:r>
    </w:p>
    <w:p>
      <w:pPr>
        <w:pStyle w:val="ListParagraph"/>
        <w:numPr>
          <w:ilvl w:val="0"/>
          <w:numId w:val="1"/>
        </w:numPr>
        <w:suppressAutoHyphens w:val="true"/>
        <w:rPr>
          <w:sz w:val="22"/>
          <w:szCs w:val="22"/>
          <w:lang w:val="uk-UA"/>
        </w:rPr>
      </w:pPr>
      <w:r>
        <w:rPr>
          <w:sz w:val="22"/>
          <w:szCs w:val="22"/>
          <w:lang w:val="uk-UA"/>
        </w:rPr>
        <w:t>при транспортуванні – 1928,10 тис. грн.</w:t>
      </w:r>
    </w:p>
    <w:p>
      <w:pPr>
        <w:pStyle w:val="ListParagraph"/>
        <w:numPr>
          <w:ilvl w:val="0"/>
          <w:numId w:val="2"/>
        </w:numPr>
        <w:suppressAutoHyphens w:val="true"/>
        <w:rPr>
          <w:sz w:val="22"/>
          <w:szCs w:val="22"/>
          <w:lang w:val="uk-UA"/>
        </w:rPr>
      </w:pPr>
      <w:r>
        <w:rPr>
          <w:sz w:val="22"/>
          <w:szCs w:val="22"/>
          <w:lang w:val="uk-UA"/>
        </w:rPr>
        <w:t xml:space="preserve"> </w:t>
      </w:r>
      <w:r>
        <w:rPr>
          <w:sz w:val="22"/>
          <w:szCs w:val="22"/>
          <w:lang w:val="uk-UA"/>
        </w:rPr>
        <w:t>Спів фінансування за рахунок коштів з місцевого бюджету, в обсязі – 4659,73 тис. грн., з ПДВ.</w:t>
      </w:r>
    </w:p>
    <w:p>
      <w:pPr>
        <w:pStyle w:val="ListParagraph"/>
        <w:numPr>
          <w:ilvl w:val="0"/>
          <w:numId w:val="1"/>
        </w:numPr>
        <w:suppressAutoHyphens w:val="true"/>
        <w:rPr>
          <w:sz w:val="22"/>
          <w:szCs w:val="22"/>
          <w:lang w:val="uk-UA"/>
        </w:rPr>
      </w:pPr>
      <w:r>
        <w:rPr>
          <w:sz w:val="22"/>
          <w:szCs w:val="22"/>
          <w:lang w:val="uk-UA"/>
        </w:rPr>
        <w:t>при виробництві теплової енергії – 3600,00 тис. грн., з ПДВ.</w:t>
      </w:r>
    </w:p>
    <w:p>
      <w:pPr>
        <w:pStyle w:val="ListParagraph"/>
        <w:numPr>
          <w:ilvl w:val="0"/>
          <w:numId w:val="1"/>
        </w:numPr>
        <w:suppressAutoHyphens w:val="true"/>
        <w:rPr>
          <w:sz w:val="22"/>
          <w:szCs w:val="22"/>
          <w:lang w:val="uk-UA"/>
        </w:rPr>
      </w:pPr>
      <w:r>
        <w:rPr>
          <w:sz w:val="22"/>
          <w:szCs w:val="22"/>
          <w:lang w:val="uk-UA"/>
        </w:rPr>
        <w:t>при транспортуванні теплової енергії ( придбання труб та комплектуючих до них) – 1059,73 тис. грн., з ПДВ.</w:t>
      </w:r>
    </w:p>
    <w:p>
      <w:pPr>
        <w:pStyle w:val="Normal"/>
        <w:rPr>
          <w:sz w:val="22"/>
          <w:szCs w:val="22"/>
          <w:lang w:val="uk-UA"/>
        </w:rPr>
      </w:pPr>
      <w:r>
        <w:rPr>
          <w:sz w:val="22"/>
          <w:szCs w:val="22"/>
          <w:lang w:val="uk-UA"/>
        </w:rPr>
        <w:t xml:space="preserve">     </w:t>
      </w:r>
      <w:r>
        <w:rPr>
          <w:sz w:val="22"/>
          <w:szCs w:val="22"/>
          <w:lang w:val="uk-UA"/>
        </w:rPr>
        <w:t xml:space="preserve">І. </w:t>
      </w:r>
      <w:r>
        <w:rPr>
          <w:b/>
          <w:sz w:val="22"/>
          <w:szCs w:val="22"/>
          <w:lang w:val="uk-UA"/>
        </w:rPr>
        <w:t xml:space="preserve">Перелік робіт  для виконання у 2020 році, невідкладних заходів, з виробництва теплової енергії, по об’єкту будівництва: </w:t>
      </w:r>
      <w:r>
        <w:rPr>
          <w:sz w:val="22"/>
          <w:szCs w:val="22"/>
          <w:lang w:val="uk-UA"/>
        </w:rPr>
        <w:t xml:space="preserve">  «Модернізація котла КВ-ГМ-30-150 №6, для несення малих навантажень – 20,00 Гкал/годину, котельня вул. Перемоги,2». На загальну суму – 4514,40 тис. грн., з них:</w:t>
      </w:r>
    </w:p>
    <w:p>
      <w:pPr>
        <w:pStyle w:val="ListParagraph"/>
        <w:numPr>
          <w:ilvl w:val="0"/>
          <w:numId w:val="1"/>
        </w:numPr>
        <w:suppressAutoHyphens w:val="true"/>
        <w:rPr>
          <w:sz w:val="22"/>
          <w:szCs w:val="22"/>
          <w:lang w:val="uk-UA"/>
        </w:rPr>
      </w:pPr>
      <w:r>
        <w:rPr>
          <w:sz w:val="22"/>
          <w:szCs w:val="22"/>
          <w:lang w:val="uk-UA"/>
        </w:rPr>
        <w:t>власні кошти підприємства – 914,40 тис. грн., без ПДВ</w:t>
      </w:r>
    </w:p>
    <w:p>
      <w:pPr>
        <w:pStyle w:val="ListParagraph"/>
        <w:numPr>
          <w:ilvl w:val="0"/>
          <w:numId w:val="1"/>
        </w:numPr>
        <w:suppressAutoHyphens w:val="true"/>
        <w:rPr>
          <w:sz w:val="22"/>
          <w:szCs w:val="22"/>
          <w:lang w:val="uk-UA"/>
        </w:rPr>
      </w:pPr>
      <w:r>
        <w:rPr>
          <w:sz w:val="22"/>
          <w:szCs w:val="22"/>
          <w:lang w:val="uk-UA"/>
        </w:rPr>
        <w:t>спів фінансування з місцевого бюджету – 3600,00 тис. грн., з ПДВ</w:t>
      </w:r>
    </w:p>
    <w:p>
      <w:pPr>
        <w:pStyle w:val="Normal"/>
        <w:rPr>
          <w:sz w:val="22"/>
          <w:szCs w:val="22"/>
          <w:lang w:val="uk-UA"/>
        </w:rPr>
      </w:pPr>
      <w:r>
        <w:rPr>
          <w:sz w:val="22"/>
          <w:szCs w:val="22"/>
          <w:lang w:val="uk-UA"/>
        </w:rPr>
        <w:t xml:space="preserve">      </w:t>
      </w:r>
      <w:r>
        <w:rPr>
          <w:sz w:val="22"/>
          <w:szCs w:val="22"/>
          <w:lang w:val="uk-UA"/>
        </w:rPr>
        <w:t>Після проведення в установленому порідку тендерних закупівель планується виконати наступні види робіт:</w:t>
      </w:r>
    </w:p>
    <w:p>
      <w:pPr>
        <w:pStyle w:val="Normal"/>
        <w:rPr>
          <w:sz w:val="22"/>
          <w:szCs w:val="22"/>
          <w:lang w:val="uk-UA"/>
        </w:rPr>
      </w:pPr>
      <w:r>
        <w:rPr>
          <w:sz w:val="22"/>
          <w:szCs w:val="22"/>
          <w:lang w:val="uk-UA"/>
        </w:rPr>
        <w:t>1.1.Виготовлення та доставка на котельню, для монтажу та заміни діючих сталевих труб, колекторів, радіаційної, та секцій конвективної части котла, після демонтажу труб та колекторів діючого котла №6,  Вартістю -  3600,00  тис. грн., кошти місцевого бюджету.</w:t>
      </w:r>
    </w:p>
    <w:p>
      <w:pPr>
        <w:pStyle w:val="Normal"/>
        <w:ind w:left="142" w:right="0" w:hanging="0"/>
        <w:rPr>
          <w:sz w:val="22"/>
          <w:szCs w:val="22"/>
          <w:lang w:val="uk-UA"/>
        </w:rPr>
      </w:pPr>
      <w:r>
        <w:rPr>
          <w:sz w:val="22"/>
          <w:szCs w:val="22"/>
          <w:lang w:val="uk-UA"/>
        </w:rPr>
        <w:t>1.2.Обладнення котла мікродіфузійним газовим пальником МДГГ – 2000. Вартістю – 350,00тис. грн., кошти підприємства.</w:t>
      </w:r>
    </w:p>
    <w:p>
      <w:pPr>
        <w:pStyle w:val="Normal"/>
        <w:ind w:left="142" w:right="0" w:hanging="0"/>
        <w:rPr>
          <w:sz w:val="22"/>
          <w:szCs w:val="22"/>
          <w:lang w:val="uk-UA"/>
        </w:rPr>
      </w:pPr>
      <w:r>
        <w:rPr>
          <w:sz w:val="22"/>
          <w:szCs w:val="22"/>
          <w:lang w:val="uk-UA"/>
        </w:rPr>
        <w:t xml:space="preserve">1.3.Виконати якісну ізоляцію, для зменшення втрат з поверхонь огородження котла до значення не більше 0,25%, комплектацію котла обладнанням, запірної арматурою та виконання монтажних робіт в котельні. Вартістю – 564,40 тис. грн.,  кошти підприємства. </w:t>
      </w:r>
    </w:p>
    <w:p>
      <w:pPr>
        <w:pStyle w:val="Normal"/>
        <w:rPr>
          <w:sz w:val="22"/>
          <w:szCs w:val="22"/>
          <w:lang w:val="uk-UA"/>
        </w:rPr>
      </w:pPr>
      <w:r>
        <w:rPr>
          <w:b/>
          <w:sz w:val="22"/>
          <w:szCs w:val="22"/>
          <w:lang w:val="uk-UA"/>
        </w:rPr>
        <w:t xml:space="preserve">ІІ. Перелік  робіт які плануються виконати  при транспортуванні теплової енергії, по об’єкту будівництва: </w:t>
      </w:r>
      <w:r>
        <w:rPr>
          <w:sz w:val="22"/>
          <w:szCs w:val="22"/>
          <w:lang w:val="uk-UA"/>
        </w:rPr>
        <w:t xml:space="preserve"> </w:t>
      </w:r>
    </w:p>
    <w:p>
      <w:pPr>
        <w:pStyle w:val="ListParagraph"/>
        <w:numPr>
          <w:ilvl w:val="0"/>
          <w:numId w:val="4"/>
        </w:numPr>
        <w:rPr>
          <w:sz w:val="22"/>
          <w:szCs w:val="22"/>
          <w:lang w:val="uk-UA"/>
        </w:rPr>
      </w:pPr>
      <w:r>
        <w:rPr>
          <w:bCs/>
          <w:sz w:val="22"/>
          <w:szCs w:val="22"/>
          <w:lang w:val="uk-UA"/>
        </w:rPr>
        <w:t>«Капітальний  ремонт  ділянки  магістральних  теплових  мереж з заміною сталевих  труб на попередньо ізольовані пінополіуретаном, існуючих діаметрів,  від  ТК6-8 до ТК6-11 по вул. Провадійська та розподільчих теплових мереж до житлових будинків вул. Франко, 16, 20, 22, вул. Провадійська, 14,16, м. Білгород-Дністровський, Одеська область (аварійний стан)»</w:t>
      </w:r>
      <w:r>
        <w:rPr>
          <w:sz w:val="22"/>
          <w:szCs w:val="22"/>
          <w:lang w:val="uk-UA"/>
        </w:rPr>
        <w:t xml:space="preserve">. Вартість об’єкту, без виконання робіт по відновлюванню дорожнього покриття, складає – 2505,20 тис. грн.,без ПДВ.,  </w:t>
      </w:r>
    </w:p>
    <w:p>
      <w:pPr>
        <w:pStyle w:val="ListParagraph"/>
        <w:numPr>
          <w:ilvl w:val="0"/>
          <w:numId w:val="4"/>
        </w:numPr>
        <w:rPr>
          <w:sz w:val="22"/>
          <w:szCs w:val="22"/>
          <w:lang w:val="uk-UA"/>
        </w:rPr>
      </w:pPr>
      <w:r>
        <w:rPr>
          <w:sz w:val="22"/>
          <w:szCs w:val="22"/>
          <w:lang w:val="uk-UA"/>
        </w:rPr>
        <w:t>«Капітальний ремонт розподільчих теплових мереж з заміною сталевих труб на попередньо ізольовані поліуретаном  існуючих діаметрів до житлових будинків вул. Франко 28-32, від ТК6-45 до ТК6-46, м. Білгород-Дністровський, Одеська область. (Аварійний стан)».</w:t>
      </w:r>
      <w:r>
        <w:rPr>
          <w:sz w:val="24"/>
          <w:szCs w:val="24"/>
          <w:lang w:val="uk-UA"/>
        </w:rPr>
        <w:t>,</w:t>
      </w:r>
      <w:r>
        <w:rPr>
          <w:sz w:val="22"/>
          <w:szCs w:val="22"/>
          <w:lang w:val="uk-UA"/>
        </w:rPr>
        <w:t>загальною вартістю – 247,19 тис. грн., без ПДВ.</w:t>
      </w:r>
    </w:p>
    <w:p>
      <w:pPr>
        <w:pStyle w:val="ListParagraph"/>
        <w:numPr>
          <w:ilvl w:val="0"/>
          <w:numId w:val="4"/>
        </w:numPr>
        <w:rPr>
          <w:sz w:val="22"/>
          <w:szCs w:val="22"/>
          <w:lang w:val="uk-UA"/>
        </w:rPr>
      </w:pPr>
      <w:r>
        <w:rPr>
          <w:sz w:val="22"/>
          <w:szCs w:val="22"/>
          <w:lang w:val="uk-UA"/>
        </w:rPr>
        <w:t>«Капітальний ремонт розподільчих теплових мереж з заміною сталевих труб на попередньо ізольовані поліуретаном  існуючих діаметрів до житлових будинків вул. Франко 34-38, м. Білгород-Дністровський, Одеська область. (Аварійний стан)»</w:t>
      </w:r>
      <w:r>
        <w:rPr>
          <w:sz w:val="24"/>
          <w:szCs w:val="24"/>
          <w:lang w:val="uk-UA"/>
        </w:rPr>
        <w:t xml:space="preserve"> ., </w:t>
      </w:r>
      <w:r>
        <w:rPr>
          <w:sz w:val="22"/>
          <w:szCs w:val="22"/>
          <w:lang w:val="uk-UA"/>
        </w:rPr>
        <w:t xml:space="preserve">загальною вартістю – 235,44 тис. грн., без ПДВ,  з них: </w:t>
      </w:r>
    </w:p>
    <w:p>
      <w:pPr>
        <w:pStyle w:val="ListParagraph"/>
        <w:numPr>
          <w:ilvl w:val="0"/>
          <w:numId w:val="1"/>
        </w:numPr>
        <w:suppressAutoHyphens w:val="true"/>
        <w:spacing w:lineRule="auto" w:line="276"/>
        <w:rPr>
          <w:sz w:val="22"/>
          <w:szCs w:val="22"/>
          <w:lang w:val="uk-UA"/>
        </w:rPr>
      </w:pPr>
      <w:r>
        <w:rPr>
          <w:sz w:val="22"/>
          <w:szCs w:val="22"/>
          <w:lang w:val="uk-UA"/>
        </w:rPr>
        <w:t>власні кошти підприємства – 1928,10 тис. грн., без ПДВ.</w:t>
      </w:r>
    </w:p>
    <w:p>
      <w:pPr>
        <w:pStyle w:val="ListParagraph"/>
        <w:numPr>
          <w:ilvl w:val="0"/>
          <w:numId w:val="1"/>
        </w:numPr>
        <w:suppressAutoHyphens w:val="true"/>
        <w:spacing w:lineRule="auto" w:line="276"/>
        <w:rPr>
          <w:sz w:val="22"/>
          <w:szCs w:val="22"/>
          <w:lang w:val="uk-UA"/>
        </w:rPr>
      </w:pPr>
      <w:r>
        <w:rPr>
          <w:sz w:val="22"/>
          <w:szCs w:val="22"/>
          <w:lang w:val="uk-UA"/>
        </w:rPr>
        <w:t>кошти місцевого бюджету – 1059,73 тис. грн., без ПДВ.</w:t>
      </w:r>
    </w:p>
    <w:p>
      <w:pPr>
        <w:pStyle w:val="Normal"/>
        <w:suppressAutoHyphens w:val="true"/>
        <w:spacing w:lineRule="auto" w:line="276"/>
        <w:ind w:left="720" w:right="0" w:hanging="0"/>
        <w:rPr>
          <w:sz w:val="22"/>
          <w:szCs w:val="22"/>
          <w:lang w:val="uk-UA"/>
        </w:rPr>
      </w:pPr>
      <w:r>
        <w:rPr>
          <w:sz w:val="22"/>
          <w:szCs w:val="22"/>
          <w:lang w:val="uk-UA"/>
        </w:rPr>
        <w:t>Планується замінити сталеві труби на попередньо ізольовані поліуретаном загальною протяжністю – 839,60 + 284,80+305=1429,40 м (в однотрубному вимірі).</w:t>
      </w:r>
    </w:p>
    <w:p>
      <w:pPr>
        <w:pStyle w:val="Normal"/>
        <w:ind w:left="0" w:right="-143" w:hanging="0"/>
        <w:jc w:val="both"/>
        <w:rPr>
          <w:sz w:val="22"/>
          <w:szCs w:val="22"/>
          <w:lang w:val="uk-UA"/>
        </w:rPr>
      </w:pPr>
      <w:r>
        <w:rPr>
          <w:sz w:val="22"/>
          <w:szCs w:val="22"/>
          <w:lang w:val="uk-UA"/>
        </w:rPr>
        <w:t xml:space="preserve">    </w:t>
      </w:r>
      <w:r>
        <w:rPr>
          <w:sz w:val="22"/>
          <w:szCs w:val="22"/>
          <w:lang w:val="uk-UA"/>
        </w:rPr>
        <w:t>Виконання заходів ІП на 2020 рік, дає можливість підприємству заощадити використання природного газу або зменшити витрати фактичної собівартості, а саме:</w:t>
      </w:r>
    </w:p>
    <w:p>
      <w:pPr>
        <w:pStyle w:val="ListParagraph"/>
        <w:numPr>
          <w:ilvl w:val="0"/>
          <w:numId w:val="1"/>
        </w:numPr>
        <w:suppressAutoHyphens w:val="true"/>
        <w:spacing w:lineRule="auto" w:line="276"/>
        <w:ind w:left="1080" w:right="-143" w:hanging="360"/>
        <w:jc w:val="both"/>
        <w:rPr>
          <w:sz w:val="22"/>
          <w:szCs w:val="22"/>
          <w:lang w:val="uk-UA"/>
        </w:rPr>
      </w:pPr>
      <w:r>
        <w:rPr>
          <w:sz w:val="22"/>
          <w:szCs w:val="22"/>
          <w:lang w:val="uk-UA"/>
        </w:rPr>
        <w:t>при виробництві теплової енергії  - 221,99 т. у. п.(190,00 тис. м</w:t>
      </w:r>
      <w:r>
        <w:rPr>
          <w:sz w:val="22"/>
          <w:szCs w:val="22"/>
          <w:vertAlign w:val="superscript"/>
          <w:lang w:val="uk-UA"/>
        </w:rPr>
        <w:t>3</w:t>
      </w:r>
      <w:r>
        <w:rPr>
          <w:sz w:val="22"/>
          <w:szCs w:val="22"/>
          <w:lang w:val="uk-UA"/>
        </w:rPr>
        <w:t>), або 1588,12 тис. грн., щорічно.</w:t>
      </w:r>
    </w:p>
    <w:p>
      <w:pPr>
        <w:pStyle w:val="ListParagraph"/>
        <w:numPr>
          <w:ilvl w:val="0"/>
          <w:numId w:val="1"/>
        </w:numPr>
        <w:suppressAutoHyphens w:val="true"/>
        <w:spacing w:lineRule="auto" w:line="276"/>
        <w:ind w:left="1080" w:right="-143" w:hanging="360"/>
        <w:jc w:val="both"/>
        <w:rPr>
          <w:sz w:val="22"/>
          <w:szCs w:val="22"/>
          <w:lang w:val="uk-UA"/>
        </w:rPr>
      </w:pPr>
      <w:r>
        <w:rPr>
          <w:sz w:val="22"/>
          <w:szCs w:val="22"/>
          <w:lang w:val="uk-UA"/>
        </w:rPr>
        <w:t>при транспортуванні теплової енергії – 12,66 т. у. п.(10,80 тис. м</w:t>
      </w:r>
      <w:r>
        <w:rPr>
          <w:sz w:val="22"/>
          <w:szCs w:val="22"/>
          <w:vertAlign w:val="superscript"/>
          <w:lang w:val="uk-UA"/>
        </w:rPr>
        <w:t>3</w:t>
      </w:r>
      <w:r>
        <w:rPr>
          <w:sz w:val="22"/>
          <w:szCs w:val="22"/>
          <w:lang w:val="uk-UA"/>
        </w:rPr>
        <w:t>), або 90,56 тис. грн., щорічно</w:t>
      </w:r>
    </w:p>
    <w:p>
      <w:pPr>
        <w:pStyle w:val="ListParagraph"/>
        <w:numPr>
          <w:ilvl w:val="0"/>
          <w:numId w:val="1"/>
        </w:numPr>
        <w:suppressAutoHyphens w:val="true"/>
        <w:spacing w:lineRule="auto" w:line="276"/>
        <w:ind w:left="1080" w:right="-143" w:hanging="360"/>
        <w:jc w:val="both"/>
        <w:rPr>
          <w:sz w:val="22"/>
          <w:szCs w:val="22"/>
          <w:lang w:val="uk-UA"/>
        </w:rPr>
      </w:pPr>
      <w:r>
        <w:rPr>
          <w:sz w:val="22"/>
          <w:szCs w:val="22"/>
          <w:lang w:val="uk-UA"/>
        </w:rPr>
        <w:t>Разом по підприємству -221,99+12,66=234,65 т. у. п.(200,80 тис. м</w:t>
      </w:r>
      <w:r>
        <w:rPr>
          <w:sz w:val="22"/>
          <w:szCs w:val="22"/>
          <w:vertAlign w:val="superscript"/>
          <w:lang w:val="uk-UA"/>
        </w:rPr>
        <w:t>3</w:t>
      </w:r>
      <w:r>
        <w:rPr>
          <w:sz w:val="22"/>
          <w:szCs w:val="22"/>
          <w:lang w:val="uk-UA"/>
        </w:rPr>
        <w:t>), або 1588,56+90,56= 1679,12 тис. грн.</w:t>
      </w:r>
    </w:p>
    <w:p>
      <w:pPr>
        <w:pStyle w:val="Normal"/>
        <w:ind w:left="0" w:right="-143" w:hanging="0"/>
        <w:jc w:val="both"/>
        <w:rPr>
          <w:sz w:val="22"/>
          <w:szCs w:val="22"/>
          <w:lang w:val="uk-UA"/>
        </w:rPr>
      </w:pPr>
      <w:r>
        <w:rPr>
          <w:sz w:val="22"/>
          <w:szCs w:val="22"/>
          <w:lang w:val="uk-UA"/>
        </w:rPr>
        <w:t xml:space="preserve">    </w:t>
      </w:r>
      <w:r>
        <w:rPr>
          <w:sz w:val="22"/>
          <w:szCs w:val="22"/>
          <w:lang w:val="uk-UA"/>
        </w:rPr>
        <w:t>Термін окупності складає – (1+(7502,23-2132,34)/2055,97)×12=43,34 місяць.</w:t>
      </w:r>
    </w:p>
    <w:p>
      <w:pPr>
        <w:pStyle w:val="Normal"/>
        <w:ind w:left="0" w:right="-143" w:hanging="0"/>
        <w:jc w:val="both"/>
        <w:rPr>
          <w:sz w:val="24"/>
          <w:szCs w:val="24"/>
          <w:lang w:val="uk-UA"/>
        </w:rPr>
      </w:pPr>
      <w:r>
        <w:rPr>
          <w:sz w:val="24"/>
          <w:szCs w:val="24"/>
          <w:lang w:val="uk-UA"/>
        </w:rPr>
      </w:r>
    </w:p>
    <w:p>
      <w:pPr>
        <w:pStyle w:val="Normal"/>
        <w:ind w:left="0" w:right="-143" w:hanging="0"/>
        <w:jc w:val="both"/>
        <w:rPr>
          <w:lang w:val="uk-UA"/>
        </w:rPr>
      </w:pPr>
      <w:r>
        <w:rPr>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t>З повагою!</w:t>
      </w:r>
    </w:p>
    <w:p>
      <w:pPr>
        <w:pStyle w:val="Normal"/>
        <w:rPr>
          <w:sz w:val="24"/>
          <w:szCs w:val="24"/>
          <w:lang w:val="uk-UA"/>
        </w:rPr>
      </w:pPr>
      <w:r>
        <w:rPr>
          <w:sz w:val="24"/>
          <w:szCs w:val="24"/>
          <w:lang w:val="uk-UA"/>
        </w:rPr>
        <w:t>Директор КП «БДТЕ»                                                                                             М.М.Волканов</w:t>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rStyle w:val="Style14"/>
          <w:sz w:val="24"/>
          <w:szCs w:val="24"/>
          <w:lang w:val="uk-UA"/>
        </w:rPr>
      </w:pPr>
      <w:r>
        <w:rPr>
          <w:sz w:val="24"/>
          <w:szCs w:val="24"/>
          <w:lang w:val="uk-UA"/>
        </w:rPr>
        <w:t xml:space="preserve">Білгород-Дністровське комунальне підприємство “Білгород-Дністровськтеплоенерго” презентує проект Інвестиційної програми на 2020 рік. </w:t>
      </w:r>
      <w:r>
        <w:rPr>
          <w:sz w:val="24"/>
          <w:szCs w:val="24"/>
          <w:lang w:val="uk-UA"/>
        </w:rPr>
        <w:t xml:space="preserve">Зауваження, пропозиції </w:t>
      </w:r>
      <w:r>
        <w:rPr>
          <w:sz w:val="24"/>
          <w:szCs w:val="24"/>
          <w:lang w:val="uk-UA"/>
        </w:rPr>
        <w:t>приймаються</w:t>
      </w:r>
      <w:r>
        <w:rPr>
          <w:sz w:val="24"/>
          <w:szCs w:val="24"/>
          <w:lang w:val="uk-UA"/>
        </w:rPr>
        <w:t xml:space="preserve"> </w:t>
      </w:r>
      <w:r>
        <w:rPr>
          <w:sz w:val="24"/>
          <w:szCs w:val="24"/>
          <w:lang w:val="uk-UA"/>
        </w:rPr>
        <w:t>у</w:t>
      </w:r>
      <w:r>
        <w:rPr>
          <w:sz w:val="24"/>
          <w:szCs w:val="24"/>
          <w:lang w:val="uk-UA"/>
        </w:rPr>
        <w:t xml:space="preserve"> технічн</w:t>
      </w:r>
      <w:r>
        <w:rPr>
          <w:sz w:val="24"/>
          <w:szCs w:val="24"/>
          <w:lang w:val="uk-UA"/>
        </w:rPr>
        <w:t>ому</w:t>
      </w:r>
      <w:r>
        <w:rPr>
          <w:sz w:val="24"/>
          <w:szCs w:val="24"/>
          <w:lang w:val="uk-UA"/>
        </w:rPr>
        <w:t xml:space="preserve"> відділ</w:t>
      </w:r>
      <w:r>
        <w:rPr>
          <w:sz w:val="24"/>
          <w:szCs w:val="24"/>
          <w:lang w:val="uk-UA"/>
        </w:rPr>
        <w:t>і</w:t>
      </w:r>
      <w:r>
        <w:rPr>
          <w:sz w:val="24"/>
          <w:szCs w:val="24"/>
          <w:lang w:val="uk-UA"/>
        </w:rPr>
        <w:t xml:space="preserve"> підприємства за адресою: вул. Перемоги,2 </w:t>
      </w:r>
      <w:r>
        <w:rPr>
          <w:sz w:val="24"/>
          <w:szCs w:val="24"/>
          <w:lang w:val="uk-UA"/>
        </w:rPr>
        <w:t>(</w:t>
      </w:r>
      <w:r>
        <w:rPr>
          <w:sz w:val="24"/>
          <w:szCs w:val="24"/>
          <w:lang w:val="uk-UA"/>
        </w:rPr>
        <w:t>тел. 3-12-10</w:t>
      </w:r>
      <w:r>
        <w:rPr>
          <w:sz w:val="24"/>
          <w:szCs w:val="24"/>
          <w:lang w:val="uk-UA"/>
        </w:rPr>
        <w:t>)</w:t>
      </w:r>
      <w:r>
        <w:rPr>
          <w:sz w:val="24"/>
          <w:szCs w:val="24"/>
          <w:lang w:val="uk-UA"/>
        </w:rPr>
        <w:t xml:space="preserve"> аб електронною адресою </w:t>
      </w:r>
      <w:hyperlink r:id="rId2">
        <w:r>
          <w:rPr>
            <w:rStyle w:val="Style14"/>
            <w:sz w:val="24"/>
            <w:szCs w:val="24"/>
            <w:lang w:val="uk-UA"/>
          </w:rPr>
          <w:t>bdteplo@ukr.net</w:t>
        </w:r>
      </w:hyperlink>
    </w:p>
    <w:p>
      <w:pPr>
        <w:pStyle w:val="Normal"/>
        <w:rPr>
          <w:sz w:val="24"/>
          <w:szCs w:val="24"/>
          <w:lang w:val="uk-UA"/>
        </w:rPr>
      </w:pPr>
      <w:r>
        <w:rPr>
          <w:sz w:val="24"/>
          <w:szCs w:val="24"/>
          <w:lang w:val="uk-UA"/>
        </w:rPr>
        <w:t xml:space="preserve">Пропозиції приймаються протягом 14 робочих днів з моменту опублікування, </w:t>
      </w:r>
      <w:r>
        <w:rPr>
          <w:sz w:val="24"/>
          <w:szCs w:val="24"/>
          <w:lang w:val="uk-UA"/>
        </w:rPr>
        <w:t>а саме - до 1 грудня поточного року.</w:t>
      </w:r>
    </w:p>
    <w:sectPr>
      <w:type w:val="nextPage"/>
      <w:pgSz w:w="11906" w:h="16838"/>
      <w:pgMar w:left="1417" w:right="850" w:header="0" w:top="850" w:footer="0" w:bottom="850"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60"/>
  <w:defaultTabStop w:val="708"/>
</w:settings>
</file>

<file path=word/styles.xml><?xml version="1.0" encoding="utf-8"?>
<w:styles xmlns:w="http://schemas.openxmlformats.org/wordprocessingml/2006/main">
  <w:docDefaults>
    <w:rPrDefault>
      <w:rPr>
        <w:rFonts w:ascii="Calibri" w:hAnsi="Calibri" w:eastAsia="Droid Sans Fallback" w:cs="Calibri"/>
        <w:sz w:val="22"/>
        <w:szCs w:val="22"/>
        <w:lang w:val="ru-RU" w:eastAsia="en-US" w:bidi="ar-SA"/>
      </w:rPr>
    </w:rPrDefault>
    <w:pPrDefault>
      <w:pPr>
        <w:spacing w:lineRule="auto" w:line="276"/>
      </w:pPr>
    </w:pPrDefault>
  </w:docDefaults>
  <w:latentStyles w:count="267" w:defSemiHidden="1" w:defUIPriority="99" w:defQFormat="0" w:defUnhideWhenUsed="1" w:defLockedState="0">
    <w:lsdException w:unhideWhenUsed="0" w:semiHidden="0" w:qFormat="1" w:uiPriority="0" w:name="Normal"/>
    <w:lsdException w:unhideWhenUsed="0" w:semiHidden="0" w:qFormat="1" w:uiPriority="9"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unhideWhenUsed="0" w:semiHidden="0" w:qFormat="1" w:uiPriority="0" w:name="Title"/>
    <w:lsdException w:uiPriority="1" w:name="Default Paragraph Font"/>
    <w:lsdException w:unhideWhenUsed="0" w:semiHidden="0" w:qFormat="1" w:uiPriority="11" w:name="Subtitle"/>
    <w:lsdException w:unhideWhenUsed="0" w:semiHidden="0" w:qFormat="1" w:uiPriority="22" w:name="Strong"/>
    <w:lsdException w:unhideWhenUsed="0" w:semiHidden="0" w:qFormat="1" w:uiPriority="20" w:name="Emphasis"/>
    <w:lsdException w:unhideWhenUsed="0" w:semiHidden="0" w:uiPriority="59" w:name="Table Grid"/>
    <w:lsdException w:unhideWhenUsed="0" w:name="Placeholder Text"/>
    <w:lsdException w:unhideWhenUsed="0" w:semiHidden="0" w:qFormat="1"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unhideWhenUsed="0" w:semiHidden="0" w:qFormat="1" w:uiPriority="34" w:name="List Paragraph"/>
    <w:lsdException w:unhideWhenUsed="0" w:semiHidden="0" w:qFormat="1" w:uiPriority="29" w:name="Quote"/>
    <w:lsdException w:unhideWhenUsed="0" w:semiHidden="0" w:qFormat="1"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unhideWhenUsed="0" w:semiHidden="0" w:qFormat="1" w:uiPriority="19" w:name="Subtle Emphasis"/>
    <w:lsdException w:unhideWhenUsed="0" w:semiHidden="0" w:qFormat="1" w:uiPriority="21" w:name="Intense Emphasis"/>
    <w:lsdException w:unhideWhenUsed="0" w:semiHidden="0" w:qFormat="1" w:uiPriority="31" w:name="Subtle Reference"/>
    <w:lsdException w:unhideWhenUsed="0" w:semiHidden="0" w:qFormat="1" w:uiPriority="32" w:name="Intense Reference"/>
    <w:lsdException w:unhideWhenUsed="0" w:semiHidden="0" w:qFormat="1" w:uiPriority="33" w:name="Book Title"/>
    <w:lsdException w:uiPriority="37" w:name="Bibliography"/>
    <w:lsdException w:qFormat="1" w:uiPriority="39" w:name="TOC Heading"/>
  </w:latentStyles>
  <w:style w:type="paragraph" w:styleId="Normal" w:default="1">
    <w:name w:val="Normal"/>
    <w:qFormat/>
    <w:rsid w:val="00ea5ae1"/>
    <w:pPr>
      <w:widowControl/>
      <w:suppressAutoHyphens w:val="true"/>
      <w:bidi w:val="0"/>
      <w:spacing w:lineRule="auto" w:line="240" w:before="0" w:after="0"/>
      <w:jc w:val="left"/>
    </w:pPr>
    <w:rPr>
      <w:rFonts w:ascii="Times New Roman" w:hAnsi="Times New Roman" w:eastAsia="Times New Roman" w:cs="Times New Roman"/>
      <w:color w:val="00000A"/>
      <w:sz w:val="20"/>
      <w:szCs w:val="20"/>
      <w:lang w:val="ru-RU" w:eastAsia="ru-RU" w:bidi="ar-SA"/>
    </w:rPr>
  </w:style>
  <w:style w:type="paragraph" w:styleId="2">
    <w:name w:val="Заголовок 2"/>
    <w:qFormat/>
    <w:semiHidden/>
    <w:unhideWhenUsed/>
    <w:link w:val="20"/>
    <w:rsid w:val="00ea5ae1"/>
    <w:basedOn w:val="Normal"/>
    <w:pPr>
      <w:keepNext/>
      <w:jc w:val="center"/>
      <w:outlineLvl w:val="1"/>
    </w:pPr>
    <w:rPr>
      <w:b/>
      <w:sz w:val="28"/>
      <w:lang w:val="uk-UA"/>
    </w:rPr>
  </w:style>
  <w:style w:type="character" w:styleId="DefaultParagraphFont" w:default="1">
    <w:name w:val="Default Paragraph Font"/>
    <w:uiPriority w:val="1"/>
    <w:semiHidden/>
    <w:unhideWhenUsed/>
    <w:rPr/>
  </w:style>
  <w:style w:type="character" w:styleId="21" w:customStyle="1">
    <w:name w:val="Заголовок 2 Знак"/>
    <w:semiHidden/>
    <w:link w:val="2"/>
    <w:rsid w:val="00ea5ae1"/>
    <w:basedOn w:val="DefaultParagraphFont"/>
    <w:rPr>
      <w:rFonts w:ascii="Times New Roman" w:hAnsi="Times New Roman" w:eastAsia="Times New Roman" w:cs="Times New Roman"/>
      <w:b/>
      <w:sz w:val="28"/>
      <w:szCs w:val="20"/>
      <w:lang w:val="uk-UA" w:eastAsia="ru-RU"/>
    </w:rPr>
  </w:style>
  <w:style w:type="character" w:styleId="Style13" w:customStyle="1">
    <w:name w:val="Название Знак"/>
    <w:link w:val="a3"/>
    <w:rsid w:val="00ea5ae1"/>
    <w:basedOn w:val="DefaultParagraphFont"/>
    <w:rPr>
      <w:rFonts w:ascii="Times New Roman" w:hAnsi="Times New Roman" w:eastAsia="Times New Roman" w:cs="Times New Roman"/>
      <w:sz w:val="32"/>
      <w:szCs w:val="20"/>
      <w:lang w:eastAsia="ru-RU"/>
    </w:rPr>
  </w:style>
  <w:style w:type="character" w:styleId="ListLabel1">
    <w:name w:val="ListLabel 1"/>
    <w:rPr>
      <w:b w:val="false"/>
    </w:rPr>
  </w:style>
  <w:style w:type="character" w:styleId="ListLabel2">
    <w:name w:val="ListLabel 2"/>
    <w:rPr>
      <w:rFonts w:eastAsia="Droid Sans Fallback" w:cs="Times New Roman"/>
    </w:rPr>
  </w:style>
  <w:style w:type="character" w:styleId="ListLabel3">
    <w:name w:val="ListLabel 3"/>
    <w:rPr>
      <w:rFonts w:cs="Courier New"/>
    </w:rPr>
  </w:style>
  <w:style w:type="character" w:styleId="Style14">
    <w:name w:val="Гіперпосилання"/>
    <w:rPr>
      <w:color w:val="000080"/>
      <w:u w:val="single"/>
      <w:lang w:val="zxx" w:eastAsia="zxx" w:bidi="zxx"/>
    </w:rPr>
  </w:style>
  <w:style w:type="character" w:styleId="ListLabel4">
    <w:name w:val="ListLabel 4"/>
    <w:rPr>
      <w:rFonts w:cs="Times New Roman"/>
    </w:rPr>
  </w:style>
  <w:style w:type="character" w:styleId="ListLabel5">
    <w:name w:val="ListLabel 5"/>
    <w:rPr>
      <w:rFonts w:cs="Courier New"/>
    </w:rPr>
  </w:style>
  <w:style w:type="character" w:styleId="ListLabel6">
    <w:name w:val="ListLabel 6"/>
    <w:rPr>
      <w:rFonts w:cs="Wingdings"/>
    </w:rPr>
  </w:style>
  <w:style w:type="character" w:styleId="ListLabel7">
    <w:name w:val="ListLabel 7"/>
    <w:rPr>
      <w:rFonts w:cs="Symbol"/>
    </w:rPr>
  </w:style>
  <w:style w:type="paragraph" w:styleId="Style15">
    <w:name w:val="Заголовок"/>
    <w:basedOn w:val="Normal"/>
    <w:next w:val="Style16"/>
    <w:pPr>
      <w:keepNext/>
      <w:spacing w:before="240" w:after="120"/>
    </w:pPr>
    <w:rPr>
      <w:rFonts w:ascii="Liberation Sans" w:hAnsi="Liberation Sans" w:eastAsia="Droid Sans Fallback" w:cs="FreeSans"/>
      <w:sz w:val="28"/>
      <w:szCs w:val="28"/>
    </w:rPr>
  </w:style>
  <w:style w:type="paragraph" w:styleId="Style16">
    <w:name w:val="Основний текст"/>
    <w:basedOn w:val="Normal"/>
    <w:pPr>
      <w:spacing w:lineRule="auto" w:line="288" w:before="0" w:after="140"/>
    </w:pPr>
    <w:rPr/>
  </w:style>
  <w:style w:type="paragraph" w:styleId="Style17">
    <w:name w:val="Список"/>
    <w:basedOn w:val="Style16"/>
    <w:pPr/>
    <w:rPr>
      <w:rFonts w:cs="FreeSans"/>
    </w:rPr>
  </w:style>
  <w:style w:type="paragraph" w:styleId="Style18">
    <w:name w:val="Розділ"/>
    <w:basedOn w:val="Normal"/>
    <w:pPr>
      <w:suppressLineNumbers/>
      <w:spacing w:before="120" w:after="120"/>
    </w:pPr>
    <w:rPr>
      <w:rFonts w:cs="FreeSans"/>
      <w:i/>
      <w:iCs/>
      <w:sz w:val="24"/>
      <w:szCs w:val="24"/>
    </w:rPr>
  </w:style>
  <w:style w:type="paragraph" w:styleId="Style19">
    <w:name w:val="Покажчик"/>
    <w:basedOn w:val="Normal"/>
    <w:pPr>
      <w:suppressLineNumbers/>
    </w:pPr>
    <w:rPr>
      <w:rFonts w:cs="FreeSans"/>
    </w:rPr>
  </w:style>
  <w:style w:type="paragraph" w:styleId="Style20">
    <w:name w:val="Назва"/>
    <w:qFormat/>
    <w:link w:val="a4"/>
    <w:rsid w:val="00ea5ae1"/>
    <w:basedOn w:val="Normal"/>
    <w:pPr>
      <w:jc w:val="center"/>
    </w:pPr>
    <w:rPr>
      <w:sz w:val="32"/>
    </w:rPr>
  </w:style>
  <w:style w:type="paragraph" w:styleId="ListParagraph">
    <w:name w:val="List Paragraph"/>
    <w:uiPriority w:val="34"/>
    <w:qFormat/>
    <w:rsid w:val="00a77602"/>
    <w:basedOn w:val="Normal"/>
    <w:pPr>
      <w:spacing w:before="0" w:after="0"/>
      <w:ind w:left="720" w:right="0" w:hanging="0"/>
      <w:contextualSpacing/>
    </w:pPr>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bdteplo@ukr.ne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Application>LibreOffice/4.2.8.2$Linux_X86_64 LibreOffice_project/420m0$Build-2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2019-11-01T07:47:00Z</dcterms:created>
  <dc:creator>ТЕХОТДЕЛ</dc:creator>
  <dc:language>uk-UA</dc:language>
  <cp:lastModifiedBy>jeka</cp:lastModifiedBy>
  <cp:lastPrinted>2019-10-01T08:02:00Z</cp:lastPrinted>
  <dcterms:modified xsi:type="dcterms:W3CDTF">2019-11-12T06:15:00Z</dcterms:modified>
  <cp:revision>24</cp:revision>
</cp:coreProperties>
</file>