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7" w:rsidRDefault="009902A7" w:rsidP="00881BD1">
      <w:pPr>
        <w:spacing w:after="0"/>
        <w:ind w:right="7"/>
        <w:jc w:val="center"/>
        <w:rPr>
          <w:b/>
          <w:sz w:val="28"/>
          <w:szCs w:val="28"/>
          <w:lang w:val="ru-RU"/>
        </w:rPr>
      </w:pPr>
    </w:p>
    <w:p w:rsidR="00881BD1" w:rsidRDefault="00881BD1" w:rsidP="00881BD1">
      <w:pPr>
        <w:spacing w:after="0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ЗВ</w:t>
      </w:r>
      <w:r>
        <w:rPr>
          <w:b/>
          <w:sz w:val="28"/>
          <w:szCs w:val="28"/>
        </w:rPr>
        <w:t>ІТ</w:t>
      </w:r>
    </w:p>
    <w:p w:rsidR="00881BD1" w:rsidRPr="00881BD1" w:rsidRDefault="00881BD1" w:rsidP="00881BD1">
      <w:pPr>
        <w:spacing w:after="0"/>
        <w:ind w:right="7"/>
        <w:jc w:val="center"/>
        <w:rPr>
          <w:sz w:val="28"/>
          <w:szCs w:val="28"/>
        </w:rPr>
      </w:pPr>
      <w:r w:rsidRPr="00881BD1">
        <w:rPr>
          <w:sz w:val="28"/>
          <w:szCs w:val="28"/>
        </w:rPr>
        <w:t xml:space="preserve">Про </w:t>
      </w:r>
      <w:proofErr w:type="spellStart"/>
      <w:r w:rsidR="00E45863">
        <w:rPr>
          <w:sz w:val="28"/>
          <w:szCs w:val="28"/>
          <w:lang w:val="ru-RU"/>
        </w:rPr>
        <w:t>базове</w:t>
      </w:r>
      <w:proofErr w:type="spellEnd"/>
      <w:r w:rsidRPr="00881BD1">
        <w:rPr>
          <w:sz w:val="28"/>
          <w:szCs w:val="28"/>
        </w:rPr>
        <w:t xml:space="preserve"> відстеження результативності регуляторного акту –</w:t>
      </w:r>
    </w:p>
    <w:p w:rsidR="00881BD1" w:rsidRDefault="00E45863" w:rsidP="00881BD1">
      <w:pPr>
        <w:spacing w:after="0"/>
        <w:ind w:right="7"/>
        <w:jc w:val="center"/>
        <w:rPr>
          <w:sz w:val="28"/>
          <w:szCs w:val="28"/>
        </w:rPr>
      </w:pPr>
      <w:r w:rsidRPr="00E45863">
        <w:rPr>
          <w:sz w:val="28"/>
          <w:szCs w:val="28"/>
        </w:rPr>
        <w:t xml:space="preserve">Проекту </w:t>
      </w:r>
      <w:r w:rsidR="00881BD1" w:rsidRPr="00881BD1">
        <w:rPr>
          <w:sz w:val="28"/>
          <w:szCs w:val="28"/>
        </w:rPr>
        <w:t xml:space="preserve">рішення виконавчого комітету Білгород – Дністровської міської  ради </w:t>
      </w:r>
    </w:p>
    <w:p w:rsidR="00881BD1" w:rsidRDefault="00E45863" w:rsidP="00881BD1">
      <w:pPr>
        <w:spacing w:after="0"/>
        <w:ind w:right="7"/>
        <w:jc w:val="center"/>
        <w:rPr>
          <w:b/>
          <w:sz w:val="28"/>
          <w:szCs w:val="28"/>
        </w:rPr>
      </w:pPr>
      <w:r w:rsidRPr="00881BD1">
        <w:rPr>
          <w:bCs/>
          <w:i/>
          <w:sz w:val="28"/>
          <w:szCs w:val="28"/>
        </w:rPr>
        <w:t xml:space="preserve"> </w:t>
      </w:r>
      <w:r w:rsidR="00881BD1" w:rsidRPr="00881BD1">
        <w:rPr>
          <w:bCs/>
          <w:i/>
          <w:sz w:val="28"/>
          <w:szCs w:val="28"/>
        </w:rPr>
        <w:t xml:space="preserve">«Про  встановлення тарифів  на  </w:t>
      </w:r>
      <w:r w:rsidR="003D707C">
        <w:rPr>
          <w:bCs/>
          <w:i/>
          <w:sz w:val="28"/>
          <w:szCs w:val="28"/>
        </w:rPr>
        <w:t>додаткові послуги та орендну плату за надання торгових місць (площ) комунального підприємства «Акермантурінвест»</w:t>
      </w:r>
    </w:p>
    <w:p w:rsidR="007B2081" w:rsidRDefault="007B2081" w:rsidP="00881BD1">
      <w:pPr>
        <w:spacing w:after="0"/>
      </w:pPr>
    </w:p>
    <w:p w:rsidR="00881BD1" w:rsidRPr="003D707C" w:rsidRDefault="00881BD1" w:rsidP="003D707C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3D707C">
        <w:rPr>
          <w:b/>
          <w:sz w:val="28"/>
          <w:szCs w:val="28"/>
        </w:rPr>
        <w:t>Вид та назва регуляторного акту:</w:t>
      </w:r>
    </w:p>
    <w:p w:rsidR="003D707C" w:rsidRPr="003D707C" w:rsidRDefault="003D707C" w:rsidP="003D707C">
      <w:pPr>
        <w:pStyle w:val="a3"/>
        <w:spacing w:after="0"/>
        <w:ind w:left="1065"/>
        <w:rPr>
          <w:b/>
          <w:sz w:val="28"/>
          <w:szCs w:val="28"/>
        </w:rPr>
      </w:pPr>
    </w:p>
    <w:p w:rsidR="00881BD1" w:rsidRPr="00881BD1" w:rsidRDefault="00E45863" w:rsidP="00881BD1">
      <w:pPr>
        <w:spacing w:after="0"/>
        <w:ind w:right="7"/>
        <w:jc w:val="both"/>
        <w:rPr>
          <w:sz w:val="28"/>
          <w:szCs w:val="28"/>
        </w:rPr>
      </w:pPr>
      <w:r w:rsidRPr="00E45863">
        <w:rPr>
          <w:sz w:val="28"/>
          <w:szCs w:val="28"/>
        </w:rPr>
        <w:t xml:space="preserve">Проект </w:t>
      </w:r>
      <w:r w:rsidR="00881BD1" w:rsidRPr="00881BD1">
        <w:rPr>
          <w:sz w:val="28"/>
          <w:szCs w:val="28"/>
        </w:rPr>
        <w:t xml:space="preserve">рішення виконавчого комітету Білгород – Дністровської міської  ради </w:t>
      </w:r>
    </w:p>
    <w:p w:rsidR="00881BD1" w:rsidRDefault="00881BD1" w:rsidP="00881BD1">
      <w:pPr>
        <w:spacing w:after="0"/>
        <w:ind w:right="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BD1">
        <w:rPr>
          <w:bCs/>
          <w:sz w:val="28"/>
          <w:szCs w:val="28"/>
        </w:rPr>
        <w:t>«</w:t>
      </w:r>
      <w:r w:rsidR="003D707C">
        <w:rPr>
          <w:bCs/>
          <w:sz w:val="28"/>
          <w:szCs w:val="28"/>
        </w:rPr>
        <w:t>Про встановлення тарифів на додаткові послуги та орендну плату за надання торгових місць (площ) комунального підприємства «Акермантурінвест».</w:t>
      </w:r>
    </w:p>
    <w:p w:rsidR="00881BD1" w:rsidRDefault="00881BD1" w:rsidP="00881BD1">
      <w:pPr>
        <w:spacing w:after="0"/>
        <w:ind w:right="7"/>
        <w:jc w:val="both"/>
        <w:rPr>
          <w:bCs/>
          <w:sz w:val="28"/>
          <w:szCs w:val="28"/>
        </w:rPr>
      </w:pPr>
    </w:p>
    <w:p w:rsidR="00881BD1" w:rsidRDefault="00430193" w:rsidP="00881BD1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81BD1" w:rsidRPr="00881BD1">
        <w:rPr>
          <w:b/>
          <w:sz w:val="28"/>
          <w:szCs w:val="28"/>
        </w:rPr>
        <w:t>2. Назва виконавця заходів періодичного відстеження:</w:t>
      </w:r>
    </w:p>
    <w:p w:rsidR="003D707C" w:rsidRDefault="003D707C" w:rsidP="00881BD1">
      <w:pPr>
        <w:spacing w:after="0"/>
        <w:ind w:right="7"/>
        <w:jc w:val="both"/>
        <w:rPr>
          <w:b/>
          <w:sz w:val="28"/>
          <w:szCs w:val="28"/>
        </w:rPr>
      </w:pPr>
    </w:p>
    <w:p w:rsidR="00274E74" w:rsidRDefault="00C73C18" w:rsidP="00881BD1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30193">
        <w:rPr>
          <w:sz w:val="28"/>
          <w:szCs w:val="28"/>
        </w:rPr>
        <w:t>правління економічного розвитку</w:t>
      </w:r>
      <w:r>
        <w:rPr>
          <w:sz w:val="28"/>
          <w:szCs w:val="28"/>
        </w:rPr>
        <w:t xml:space="preserve"> Білг</w:t>
      </w:r>
      <w:r w:rsidR="00C34A1A">
        <w:rPr>
          <w:sz w:val="28"/>
          <w:szCs w:val="28"/>
        </w:rPr>
        <w:t xml:space="preserve">ород-Дністровської міської ради, </w:t>
      </w:r>
      <w:r w:rsidR="003D707C">
        <w:rPr>
          <w:sz w:val="28"/>
          <w:szCs w:val="28"/>
        </w:rPr>
        <w:t>комунальне підприємство «Акермантурінвест».</w:t>
      </w:r>
    </w:p>
    <w:p w:rsidR="00C73C18" w:rsidRDefault="00C73C18" w:rsidP="00881BD1">
      <w:pPr>
        <w:spacing w:after="0"/>
        <w:ind w:right="7"/>
        <w:jc w:val="both"/>
        <w:rPr>
          <w:sz w:val="28"/>
          <w:szCs w:val="28"/>
        </w:rPr>
      </w:pPr>
    </w:p>
    <w:p w:rsidR="00274E74" w:rsidRDefault="00430193" w:rsidP="00881BD1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74E74" w:rsidRPr="00274E74">
        <w:rPr>
          <w:b/>
          <w:sz w:val="28"/>
          <w:szCs w:val="28"/>
        </w:rPr>
        <w:t>3. Цілі прийняття акту:</w:t>
      </w:r>
    </w:p>
    <w:p w:rsidR="003D707C" w:rsidRDefault="003D707C" w:rsidP="00881BD1">
      <w:pPr>
        <w:spacing w:after="0"/>
        <w:ind w:right="7"/>
        <w:jc w:val="both"/>
        <w:rPr>
          <w:b/>
          <w:sz w:val="28"/>
          <w:szCs w:val="28"/>
        </w:rPr>
      </w:pPr>
    </w:p>
    <w:p w:rsidR="00274E74" w:rsidRPr="00274E74" w:rsidRDefault="00274E74" w:rsidP="00881BD1">
      <w:pPr>
        <w:spacing w:after="0"/>
        <w:ind w:right="7"/>
        <w:jc w:val="both"/>
        <w:rPr>
          <w:b/>
          <w:sz w:val="28"/>
          <w:szCs w:val="28"/>
        </w:rPr>
      </w:pPr>
      <w:r w:rsidRPr="00274E74">
        <w:rPr>
          <w:sz w:val="28"/>
          <w:szCs w:val="28"/>
        </w:rPr>
        <w:t>Прийняття запропонованого регуляторного акта надало змогу забезпечити:</w:t>
      </w:r>
    </w:p>
    <w:p w:rsidR="00274E74" w:rsidRDefault="00274E74" w:rsidP="00274E74">
      <w:pPr>
        <w:shd w:val="clear" w:color="auto" w:fill="FFFFFF"/>
        <w:tabs>
          <w:tab w:val="clear" w:pos="708"/>
        </w:tabs>
        <w:suppressAutoHyphens w:val="0"/>
        <w:spacing w:before="75" w:after="75"/>
        <w:ind w:right="7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 w:rsidRPr="00F9745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тариф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 відповідності до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законодавства</w:t>
      </w:r>
      <w:r w:rsidRPr="00F97450">
        <w:rPr>
          <w:sz w:val="28"/>
          <w:szCs w:val="28"/>
        </w:rPr>
        <w:t xml:space="preserve">. </w:t>
      </w:r>
    </w:p>
    <w:p w:rsidR="00274E74" w:rsidRDefault="00274E74" w:rsidP="00274E74">
      <w:pPr>
        <w:shd w:val="clear" w:color="auto" w:fill="FFFFFF"/>
        <w:tabs>
          <w:tab w:val="clear" w:pos="708"/>
        </w:tabs>
        <w:suppressAutoHyphens w:val="0"/>
        <w:spacing w:before="75" w:after="75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450">
        <w:rPr>
          <w:sz w:val="28"/>
          <w:szCs w:val="28"/>
        </w:rPr>
        <w:t xml:space="preserve">встановлення </w:t>
      </w:r>
      <w:r>
        <w:rPr>
          <w:sz w:val="28"/>
          <w:szCs w:val="28"/>
        </w:rPr>
        <w:t>економічно об</w:t>
      </w:r>
      <w:r w:rsidRPr="006715AE">
        <w:rPr>
          <w:sz w:val="28"/>
          <w:szCs w:val="28"/>
        </w:rPr>
        <w:t>ґ</w:t>
      </w:r>
      <w:r>
        <w:rPr>
          <w:sz w:val="28"/>
          <w:szCs w:val="28"/>
        </w:rPr>
        <w:t>рунтованих тарифів на послуги комунального підприємства «А</w:t>
      </w:r>
      <w:r w:rsidR="003D707C">
        <w:rPr>
          <w:sz w:val="28"/>
          <w:szCs w:val="28"/>
        </w:rPr>
        <w:t>кермантурінвест</w:t>
      </w:r>
      <w:r>
        <w:rPr>
          <w:sz w:val="28"/>
          <w:szCs w:val="28"/>
        </w:rPr>
        <w:t>».</w:t>
      </w:r>
    </w:p>
    <w:p w:rsidR="00274E74" w:rsidRDefault="00274E74" w:rsidP="00274E74">
      <w:pPr>
        <w:shd w:val="clear" w:color="auto" w:fill="FFFFFF"/>
        <w:tabs>
          <w:tab w:val="clear" w:pos="708"/>
        </w:tabs>
        <w:suppressAutoHyphens w:val="0"/>
        <w:spacing w:before="75" w:after="75"/>
        <w:ind w:right="75"/>
        <w:jc w:val="both"/>
        <w:rPr>
          <w:sz w:val="28"/>
          <w:szCs w:val="28"/>
        </w:rPr>
      </w:pPr>
    </w:p>
    <w:p w:rsidR="00274E74" w:rsidRPr="00274E74" w:rsidRDefault="00274E74" w:rsidP="00430193">
      <w:pPr>
        <w:shd w:val="clear" w:color="auto" w:fill="FFFFFF"/>
        <w:tabs>
          <w:tab w:val="clear" w:pos="708"/>
        </w:tabs>
        <w:suppressAutoHyphens w:val="0"/>
        <w:spacing w:before="75" w:after="75"/>
        <w:ind w:right="75" w:firstLine="708"/>
        <w:jc w:val="both"/>
        <w:rPr>
          <w:b/>
          <w:sz w:val="28"/>
          <w:szCs w:val="28"/>
        </w:rPr>
      </w:pPr>
      <w:r w:rsidRPr="00274E74">
        <w:rPr>
          <w:b/>
          <w:sz w:val="28"/>
          <w:szCs w:val="28"/>
        </w:rPr>
        <w:t>4. Строки виконання заходів відстеження:</w:t>
      </w:r>
    </w:p>
    <w:p w:rsidR="003D707C" w:rsidRDefault="003D707C" w:rsidP="00881BD1">
      <w:pPr>
        <w:spacing w:after="0"/>
        <w:ind w:right="7"/>
        <w:jc w:val="both"/>
        <w:rPr>
          <w:sz w:val="28"/>
          <w:szCs w:val="28"/>
        </w:rPr>
      </w:pPr>
    </w:p>
    <w:p w:rsidR="00274E74" w:rsidRDefault="00274E74" w:rsidP="00881BD1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9C2A9F">
        <w:rPr>
          <w:sz w:val="28"/>
          <w:szCs w:val="28"/>
        </w:rPr>
        <w:t>01.0</w:t>
      </w:r>
      <w:r w:rsidR="003D707C">
        <w:rPr>
          <w:sz w:val="28"/>
          <w:szCs w:val="28"/>
          <w:lang w:val="ru-RU"/>
        </w:rPr>
        <w:t>2</w:t>
      </w:r>
      <w:r w:rsidR="009C2A9F">
        <w:rPr>
          <w:sz w:val="28"/>
          <w:szCs w:val="28"/>
        </w:rPr>
        <w:t>.201</w:t>
      </w:r>
      <w:r w:rsidR="00E45863">
        <w:rPr>
          <w:sz w:val="28"/>
          <w:szCs w:val="28"/>
          <w:lang w:val="ru-RU"/>
        </w:rPr>
        <w:t>8</w:t>
      </w:r>
      <w:r w:rsidR="009C2A9F">
        <w:rPr>
          <w:sz w:val="28"/>
          <w:szCs w:val="28"/>
        </w:rPr>
        <w:t xml:space="preserve"> року по </w:t>
      </w:r>
      <w:r w:rsidR="003D707C">
        <w:rPr>
          <w:sz w:val="28"/>
          <w:szCs w:val="28"/>
        </w:rPr>
        <w:t>28</w:t>
      </w:r>
      <w:r w:rsidR="009C2A9F">
        <w:rPr>
          <w:sz w:val="28"/>
          <w:szCs w:val="28"/>
        </w:rPr>
        <w:t>.</w:t>
      </w:r>
      <w:r w:rsidR="003D707C">
        <w:rPr>
          <w:sz w:val="28"/>
          <w:szCs w:val="28"/>
          <w:lang w:val="ru-RU"/>
        </w:rPr>
        <w:t>02</w:t>
      </w:r>
      <w:r w:rsidR="009C2A9F">
        <w:rPr>
          <w:sz w:val="28"/>
          <w:szCs w:val="28"/>
        </w:rPr>
        <w:t>.201</w:t>
      </w:r>
      <w:r w:rsidR="00E45863">
        <w:rPr>
          <w:sz w:val="28"/>
          <w:szCs w:val="28"/>
          <w:lang w:val="ru-RU"/>
        </w:rPr>
        <w:t>8</w:t>
      </w:r>
      <w:r w:rsidR="009C2A9F">
        <w:rPr>
          <w:sz w:val="28"/>
          <w:szCs w:val="28"/>
        </w:rPr>
        <w:t xml:space="preserve"> року.</w:t>
      </w:r>
    </w:p>
    <w:p w:rsidR="009C2A9F" w:rsidRDefault="009C2A9F" w:rsidP="00881BD1">
      <w:pPr>
        <w:spacing w:after="0"/>
        <w:ind w:right="7"/>
        <w:jc w:val="both"/>
        <w:rPr>
          <w:sz w:val="28"/>
          <w:szCs w:val="28"/>
        </w:rPr>
      </w:pPr>
    </w:p>
    <w:p w:rsidR="009C2A9F" w:rsidRPr="009C2A9F" w:rsidRDefault="00430193" w:rsidP="00881BD1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2A9F" w:rsidRPr="009C2A9F">
        <w:rPr>
          <w:b/>
          <w:sz w:val="28"/>
          <w:szCs w:val="28"/>
        </w:rPr>
        <w:t xml:space="preserve">5. Тип відстеження: </w:t>
      </w:r>
    </w:p>
    <w:p w:rsidR="003D707C" w:rsidRDefault="003D707C" w:rsidP="00881BD1">
      <w:pPr>
        <w:spacing w:after="0"/>
        <w:ind w:right="7"/>
        <w:jc w:val="both"/>
        <w:rPr>
          <w:sz w:val="28"/>
          <w:szCs w:val="28"/>
          <w:lang w:val="ru-RU"/>
        </w:rPr>
      </w:pPr>
    </w:p>
    <w:p w:rsidR="009C2A9F" w:rsidRDefault="00E45863" w:rsidP="00881BD1">
      <w:pPr>
        <w:spacing w:after="0"/>
        <w:ind w:right="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Базове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відстеження</w:t>
      </w:r>
      <w:proofErr w:type="spellEnd"/>
      <w:r w:rsidR="009C2A9F" w:rsidRPr="009C2A9F">
        <w:rPr>
          <w:sz w:val="28"/>
          <w:szCs w:val="28"/>
        </w:rPr>
        <w:t>.</w:t>
      </w:r>
    </w:p>
    <w:p w:rsidR="009C2A9F" w:rsidRDefault="009C2A9F" w:rsidP="00881BD1">
      <w:pPr>
        <w:spacing w:after="0"/>
        <w:ind w:right="7"/>
        <w:jc w:val="both"/>
        <w:rPr>
          <w:sz w:val="28"/>
          <w:szCs w:val="28"/>
        </w:rPr>
      </w:pPr>
    </w:p>
    <w:p w:rsidR="009C2A9F" w:rsidRPr="009C2A9F" w:rsidRDefault="00430193" w:rsidP="00881BD1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2A9F" w:rsidRPr="009C2A9F">
        <w:rPr>
          <w:b/>
          <w:sz w:val="28"/>
          <w:szCs w:val="28"/>
        </w:rPr>
        <w:t xml:space="preserve">6. Методи одержання результатів відстеження: </w:t>
      </w:r>
    </w:p>
    <w:p w:rsidR="00853C87" w:rsidRDefault="00E45863" w:rsidP="00881BD1">
      <w:pPr>
        <w:spacing w:after="0"/>
        <w:ind w:right="7"/>
        <w:jc w:val="both"/>
        <w:rPr>
          <w:sz w:val="28"/>
          <w:szCs w:val="28"/>
          <w:lang w:val="ru-RU"/>
        </w:rPr>
      </w:pPr>
      <w:proofErr w:type="spellStart"/>
      <w:r w:rsidRPr="00E45863">
        <w:rPr>
          <w:sz w:val="28"/>
          <w:szCs w:val="28"/>
          <w:lang w:val="ru-RU"/>
        </w:rPr>
        <w:t>Аналіз</w:t>
      </w:r>
      <w:proofErr w:type="spellEnd"/>
      <w:r w:rsidRPr="00E45863">
        <w:rPr>
          <w:sz w:val="28"/>
          <w:szCs w:val="28"/>
          <w:lang w:val="ru-RU"/>
        </w:rPr>
        <w:t xml:space="preserve"> </w:t>
      </w:r>
      <w:proofErr w:type="spellStart"/>
      <w:r w:rsidRPr="00E45863">
        <w:rPr>
          <w:sz w:val="28"/>
          <w:szCs w:val="28"/>
          <w:lang w:val="ru-RU"/>
        </w:rPr>
        <w:t>показників</w:t>
      </w:r>
      <w:proofErr w:type="spellEnd"/>
      <w:r w:rsidRPr="00E45863">
        <w:rPr>
          <w:sz w:val="28"/>
          <w:szCs w:val="28"/>
          <w:lang w:val="ru-RU"/>
        </w:rPr>
        <w:t xml:space="preserve"> </w:t>
      </w:r>
      <w:proofErr w:type="spellStart"/>
      <w:r w:rsidRPr="00E45863">
        <w:rPr>
          <w:sz w:val="28"/>
          <w:szCs w:val="28"/>
          <w:lang w:val="ru-RU"/>
        </w:rPr>
        <w:t>результативності</w:t>
      </w:r>
      <w:proofErr w:type="spellEnd"/>
      <w:r w:rsidRPr="00E45863">
        <w:rPr>
          <w:sz w:val="28"/>
          <w:szCs w:val="28"/>
          <w:lang w:val="ru-RU"/>
        </w:rPr>
        <w:t xml:space="preserve">  </w:t>
      </w:r>
      <w:proofErr w:type="gramStart"/>
      <w:r w:rsidRPr="00E45863">
        <w:rPr>
          <w:sz w:val="28"/>
          <w:szCs w:val="28"/>
          <w:lang w:val="ru-RU"/>
        </w:rPr>
        <w:t>регуляторного</w:t>
      </w:r>
      <w:proofErr w:type="gramEnd"/>
      <w:r w:rsidRPr="00E45863">
        <w:rPr>
          <w:sz w:val="28"/>
          <w:szCs w:val="28"/>
          <w:lang w:val="ru-RU"/>
        </w:rPr>
        <w:t xml:space="preserve"> акту.</w:t>
      </w:r>
    </w:p>
    <w:p w:rsidR="00E45863" w:rsidRPr="00E45863" w:rsidRDefault="00E45863" w:rsidP="00881BD1">
      <w:pPr>
        <w:spacing w:after="0"/>
        <w:ind w:right="7"/>
        <w:jc w:val="both"/>
        <w:rPr>
          <w:sz w:val="28"/>
          <w:szCs w:val="28"/>
          <w:lang w:val="ru-RU"/>
        </w:rPr>
      </w:pPr>
    </w:p>
    <w:p w:rsidR="00853C87" w:rsidRDefault="00430193" w:rsidP="00881BD1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3C87" w:rsidRPr="00853C87">
        <w:rPr>
          <w:b/>
          <w:sz w:val="28"/>
          <w:szCs w:val="28"/>
        </w:rPr>
        <w:t>7. Дані та припущення, на основі яких відстежувалася результативність:</w:t>
      </w:r>
    </w:p>
    <w:p w:rsidR="00E45863" w:rsidRPr="00E45863" w:rsidRDefault="00E45863" w:rsidP="00881BD1">
      <w:pPr>
        <w:spacing w:after="0"/>
        <w:ind w:right="7"/>
        <w:jc w:val="both"/>
        <w:rPr>
          <w:sz w:val="28"/>
          <w:szCs w:val="28"/>
        </w:rPr>
      </w:pPr>
      <w:r w:rsidRPr="00E45863">
        <w:rPr>
          <w:sz w:val="28"/>
          <w:szCs w:val="28"/>
        </w:rPr>
        <w:t>Враховуючи цілі регулювання, для відстеження результативності регуляторного акта були визначені такі показники результативності:</w:t>
      </w:r>
    </w:p>
    <w:p w:rsidR="00853C87" w:rsidRDefault="00853C87" w:rsidP="00853C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скарг від суб’єктів господарювання;</w:t>
      </w:r>
    </w:p>
    <w:p w:rsidR="00853C87" w:rsidRDefault="00853C87" w:rsidP="00853C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платників послуг та орендної плати;</w:t>
      </w:r>
    </w:p>
    <w:p w:rsidR="00853C87" w:rsidRDefault="00853C87" w:rsidP="00853C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 відрахувань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r w:rsidR="003D707C">
        <w:rPr>
          <w:sz w:val="28"/>
          <w:szCs w:val="28"/>
        </w:rPr>
        <w:t>Акермантурінвест</w:t>
      </w:r>
      <w:r>
        <w:rPr>
          <w:sz w:val="28"/>
          <w:szCs w:val="28"/>
        </w:rPr>
        <w:t>» до міського бюджету.</w:t>
      </w:r>
    </w:p>
    <w:p w:rsidR="00881BD1" w:rsidRPr="00853C87" w:rsidRDefault="00430193" w:rsidP="00881B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3C87" w:rsidRPr="00853C87">
        <w:rPr>
          <w:b/>
          <w:sz w:val="28"/>
          <w:szCs w:val="28"/>
        </w:rPr>
        <w:t>8. Кількісні та якісні значення показників результативності:</w:t>
      </w:r>
    </w:p>
    <w:p w:rsidR="00425825" w:rsidRPr="00881BD1" w:rsidRDefault="00E45863" w:rsidP="00425825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25825" w:rsidRPr="00881BD1">
        <w:rPr>
          <w:sz w:val="28"/>
          <w:szCs w:val="28"/>
        </w:rPr>
        <w:t xml:space="preserve">рішення виконавчого комітету Білгород – Дністровської міської  ради </w:t>
      </w:r>
    </w:p>
    <w:p w:rsidR="00425825" w:rsidRDefault="00425825" w:rsidP="00425825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BD1">
        <w:rPr>
          <w:bCs/>
          <w:sz w:val="28"/>
          <w:szCs w:val="28"/>
        </w:rPr>
        <w:t>«</w:t>
      </w:r>
      <w:r w:rsidR="003D707C">
        <w:rPr>
          <w:bCs/>
          <w:sz w:val="28"/>
          <w:szCs w:val="28"/>
        </w:rPr>
        <w:t>Про встановлення тарифів на додаткові послуги та орендну плату за надання торгових місць (площ) комунального підприємства «Акермантурінвест</w:t>
      </w:r>
      <w:r w:rsidRPr="00881B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425825">
        <w:rPr>
          <w:sz w:val="28"/>
          <w:szCs w:val="28"/>
        </w:rPr>
        <w:t xml:space="preserve">створює умови для: забезпечення реалізації повноважень міської ради та </w:t>
      </w:r>
      <w:r w:rsidR="00CA0D3A">
        <w:rPr>
          <w:sz w:val="28"/>
          <w:szCs w:val="28"/>
        </w:rPr>
        <w:t>виконавчого комітету</w:t>
      </w:r>
      <w:r w:rsidRPr="00425825">
        <w:rPr>
          <w:sz w:val="28"/>
          <w:szCs w:val="28"/>
        </w:rPr>
        <w:t xml:space="preserve"> у сфері </w:t>
      </w:r>
      <w:r>
        <w:rPr>
          <w:sz w:val="28"/>
          <w:szCs w:val="28"/>
        </w:rPr>
        <w:t>регуляторної політики</w:t>
      </w:r>
      <w:r w:rsidRPr="00425825">
        <w:rPr>
          <w:sz w:val="28"/>
          <w:szCs w:val="28"/>
        </w:rPr>
        <w:t xml:space="preserve">; </w:t>
      </w:r>
      <w:r>
        <w:rPr>
          <w:sz w:val="28"/>
          <w:szCs w:val="28"/>
        </w:rPr>
        <w:t>встановлення економічно об</w:t>
      </w:r>
      <w:r w:rsidRPr="006715AE">
        <w:rPr>
          <w:sz w:val="28"/>
          <w:szCs w:val="28"/>
        </w:rPr>
        <w:t>ґ</w:t>
      </w:r>
      <w:r>
        <w:rPr>
          <w:sz w:val="28"/>
          <w:szCs w:val="28"/>
        </w:rPr>
        <w:t xml:space="preserve">рунтованих тарифів, </w:t>
      </w:r>
      <w:r w:rsidRPr="00425825">
        <w:rPr>
          <w:sz w:val="28"/>
          <w:szCs w:val="28"/>
        </w:rPr>
        <w:t xml:space="preserve">збільшення надходження коштів до </w:t>
      </w:r>
      <w:r w:rsidR="00CA0D3A">
        <w:rPr>
          <w:sz w:val="28"/>
          <w:szCs w:val="28"/>
        </w:rPr>
        <w:t>міського бюджету у вигляді податків</w:t>
      </w:r>
      <w:r w:rsidRPr="00425825">
        <w:rPr>
          <w:sz w:val="28"/>
          <w:szCs w:val="28"/>
        </w:rPr>
        <w:t xml:space="preserve">, що </w:t>
      </w:r>
      <w:r w:rsidR="00CA0D3A">
        <w:rPr>
          <w:sz w:val="28"/>
          <w:szCs w:val="28"/>
        </w:rPr>
        <w:t>створює подальший розвиток міста.</w:t>
      </w:r>
    </w:p>
    <w:p w:rsidR="00430193" w:rsidRDefault="00430193" w:rsidP="00425825">
      <w:pPr>
        <w:spacing w:after="0"/>
        <w:ind w:right="7"/>
        <w:jc w:val="both"/>
        <w:rPr>
          <w:sz w:val="28"/>
          <w:szCs w:val="28"/>
        </w:rPr>
      </w:pPr>
    </w:p>
    <w:p w:rsidR="00CA0D3A" w:rsidRDefault="00425825" w:rsidP="00CA0D3A">
      <w:pPr>
        <w:ind w:left="720"/>
        <w:jc w:val="both"/>
        <w:rPr>
          <w:sz w:val="28"/>
          <w:szCs w:val="28"/>
        </w:rPr>
      </w:pPr>
      <w:r w:rsidRPr="00425825">
        <w:rPr>
          <w:sz w:val="28"/>
          <w:szCs w:val="28"/>
        </w:rPr>
        <w:t xml:space="preserve">Кількісні показники: </w:t>
      </w:r>
    </w:p>
    <w:p w:rsidR="00425825" w:rsidRDefault="00CA0D3A" w:rsidP="00430193">
      <w:pPr>
        <w:spacing w:after="0"/>
        <w:ind w:right="7"/>
        <w:jc w:val="both"/>
        <w:rPr>
          <w:sz w:val="28"/>
          <w:szCs w:val="28"/>
        </w:rPr>
      </w:pPr>
      <w:r w:rsidRPr="00430193">
        <w:rPr>
          <w:sz w:val="28"/>
          <w:szCs w:val="28"/>
        </w:rPr>
        <w:t xml:space="preserve">Кількість скарг від суб’єктів господарювання - </w:t>
      </w:r>
      <w:r w:rsidR="00425825" w:rsidRPr="00430193">
        <w:rPr>
          <w:sz w:val="28"/>
          <w:szCs w:val="28"/>
        </w:rPr>
        <w:t xml:space="preserve"> </w:t>
      </w:r>
      <w:r w:rsidRPr="00430193">
        <w:rPr>
          <w:sz w:val="28"/>
          <w:szCs w:val="28"/>
        </w:rPr>
        <w:t xml:space="preserve">до комунального підприємства за </w:t>
      </w:r>
      <w:proofErr w:type="spellStart"/>
      <w:r w:rsidRPr="00430193">
        <w:rPr>
          <w:sz w:val="28"/>
          <w:szCs w:val="28"/>
        </w:rPr>
        <w:t>розглядаємий</w:t>
      </w:r>
      <w:proofErr w:type="spellEnd"/>
      <w:r w:rsidRPr="00430193">
        <w:rPr>
          <w:sz w:val="28"/>
          <w:szCs w:val="28"/>
        </w:rPr>
        <w:t xml:space="preserve"> період не надходили.</w:t>
      </w:r>
    </w:p>
    <w:p w:rsidR="003D707C" w:rsidRPr="00430193" w:rsidRDefault="003D707C" w:rsidP="00430193">
      <w:pPr>
        <w:spacing w:after="0"/>
        <w:ind w:right="7"/>
        <w:jc w:val="both"/>
        <w:rPr>
          <w:bCs/>
          <w:sz w:val="28"/>
          <w:szCs w:val="28"/>
        </w:rPr>
      </w:pPr>
    </w:p>
    <w:p w:rsidR="00430193" w:rsidRPr="00430193" w:rsidRDefault="00430193" w:rsidP="003C07EE">
      <w:pPr>
        <w:pStyle w:val="a3"/>
        <w:spacing w:after="0"/>
        <w:ind w:right="7"/>
        <w:jc w:val="both"/>
        <w:rPr>
          <w:b/>
          <w:sz w:val="28"/>
          <w:szCs w:val="28"/>
        </w:rPr>
      </w:pPr>
      <w:r w:rsidRPr="00430193">
        <w:rPr>
          <w:b/>
          <w:sz w:val="28"/>
          <w:szCs w:val="28"/>
        </w:rPr>
        <w:t xml:space="preserve">9. Оцінка результатів реалізації регулятивного акта та ступеня досягнення визначених цілей: </w:t>
      </w:r>
    </w:p>
    <w:p w:rsidR="003D707C" w:rsidRDefault="003D707C" w:rsidP="00E45863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</w:p>
    <w:p w:rsidR="00E45863" w:rsidRPr="00E45863" w:rsidRDefault="00E45863" w:rsidP="00E45863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  <w:r w:rsidRPr="00E45863">
        <w:rPr>
          <w:kern w:val="1"/>
          <w:sz w:val="28"/>
          <w:szCs w:val="28"/>
          <w:lang w:val="uk-UA" w:eastAsia="zh-CN"/>
        </w:rPr>
        <w:t>Оцінка результатів реалізації регуляторного акта та ступінь досягнення мети будуть визначені при повторному дослідженні.</w:t>
      </w:r>
    </w:p>
    <w:p w:rsidR="00E45863" w:rsidRPr="00E45863" w:rsidRDefault="00E45863" w:rsidP="00E45863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  <w:r w:rsidRPr="00E45863">
        <w:rPr>
          <w:kern w:val="1"/>
          <w:sz w:val="28"/>
          <w:szCs w:val="28"/>
          <w:lang w:val="uk-UA" w:eastAsia="zh-CN"/>
        </w:rPr>
        <w:t>         Повторне відстеження результативності буде проведено через рік після базового відстеження регуляторного акту.</w:t>
      </w:r>
    </w:p>
    <w:p w:rsidR="00E45863" w:rsidRDefault="00E45863" w:rsidP="00E45863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  <w:r w:rsidRPr="00E45863">
        <w:rPr>
          <w:kern w:val="1"/>
          <w:sz w:val="28"/>
          <w:szCs w:val="28"/>
          <w:lang w:val="uk-UA" w:eastAsia="zh-CN"/>
        </w:rPr>
        <w:t>         За результатами повторного відстеження при співставленні з результатами базового відстеження буде визначена ефективність та доцільність акту.</w:t>
      </w:r>
    </w:p>
    <w:p w:rsidR="00484AB3" w:rsidRPr="00E45863" w:rsidRDefault="00484AB3" w:rsidP="00E45863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</w:p>
    <w:p w:rsidR="003C07EE" w:rsidRDefault="00C34A1A" w:rsidP="00394BD2">
      <w:pPr>
        <w:spacing w:after="0"/>
        <w:ind w:right="7"/>
        <w:jc w:val="both"/>
        <w:rPr>
          <w:b/>
          <w:sz w:val="28"/>
          <w:szCs w:val="28"/>
        </w:rPr>
      </w:pPr>
      <w:r w:rsidRPr="00484AB3">
        <w:rPr>
          <w:b/>
          <w:sz w:val="28"/>
          <w:szCs w:val="28"/>
        </w:rPr>
        <w:t xml:space="preserve">Директор </w:t>
      </w:r>
      <w:bookmarkStart w:id="0" w:name="_GoBack"/>
      <w:bookmarkEnd w:id="0"/>
      <w:r w:rsidR="003D707C" w:rsidRPr="00484AB3">
        <w:rPr>
          <w:b/>
          <w:sz w:val="28"/>
          <w:szCs w:val="28"/>
        </w:rPr>
        <w:t xml:space="preserve"> </w:t>
      </w:r>
      <w:proofErr w:type="spellStart"/>
      <w:r w:rsidR="003D707C" w:rsidRPr="00484AB3">
        <w:rPr>
          <w:b/>
          <w:sz w:val="28"/>
          <w:szCs w:val="28"/>
        </w:rPr>
        <w:t>КП</w:t>
      </w:r>
      <w:proofErr w:type="spellEnd"/>
      <w:r w:rsidR="003D707C" w:rsidRPr="00484AB3">
        <w:rPr>
          <w:b/>
          <w:sz w:val="28"/>
          <w:szCs w:val="28"/>
        </w:rPr>
        <w:t xml:space="preserve"> «Акермантурінвест»                                                 О.П.</w:t>
      </w:r>
      <w:proofErr w:type="spellStart"/>
      <w:r w:rsidR="003D707C" w:rsidRPr="00484AB3">
        <w:rPr>
          <w:b/>
          <w:sz w:val="28"/>
          <w:szCs w:val="28"/>
        </w:rPr>
        <w:t>Мога</w:t>
      </w:r>
      <w:proofErr w:type="spellEnd"/>
    </w:p>
    <w:p w:rsidR="002267E3" w:rsidRPr="00484AB3" w:rsidRDefault="002267E3" w:rsidP="00394BD2">
      <w:pPr>
        <w:spacing w:after="0"/>
        <w:ind w:right="7"/>
        <w:jc w:val="both"/>
        <w:rPr>
          <w:b/>
          <w:bCs/>
          <w:sz w:val="28"/>
          <w:szCs w:val="28"/>
        </w:rPr>
      </w:pPr>
    </w:p>
    <w:sectPr w:rsidR="002267E3" w:rsidRPr="00484AB3" w:rsidSect="00BF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76D4BD1"/>
    <w:multiLevelType w:val="hybridMultilevel"/>
    <w:tmpl w:val="F2A07A86"/>
    <w:lvl w:ilvl="0" w:tplc="22B6F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5733E"/>
    <w:multiLevelType w:val="hybridMultilevel"/>
    <w:tmpl w:val="530C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2C1"/>
    <w:rsid w:val="002267E3"/>
    <w:rsid w:val="00274E74"/>
    <w:rsid w:val="00394BD2"/>
    <w:rsid w:val="003C07EE"/>
    <w:rsid w:val="003D707C"/>
    <w:rsid w:val="00425825"/>
    <w:rsid w:val="00430193"/>
    <w:rsid w:val="00484AB3"/>
    <w:rsid w:val="00626851"/>
    <w:rsid w:val="00755CEB"/>
    <w:rsid w:val="007B2081"/>
    <w:rsid w:val="007E12C1"/>
    <w:rsid w:val="00800E73"/>
    <w:rsid w:val="008445D6"/>
    <w:rsid w:val="00853C87"/>
    <w:rsid w:val="00881BD1"/>
    <w:rsid w:val="00900EB1"/>
    <w:rsid w:val="00970BF9"/>
    <w:rsid w:val="009902A7"/>
    <w:rsid w:val="009C2A9F"/>
    <w:rsid w:val="00B7221B"/>
    <w:rsid w:val="00BC781D"/>
    <w:rsid w:val="00BF2921"/>
    <w:rsid w:val="00C31910"/>
    <w:rsid w:val="00C34A1A"/>
    <w:rsid w:val="00C73C18"/>
    <w:rsid w:val="00CA0D3A"/>
    <w:rsid w:val="00D11D0E"/>
    <w:rsid w:val="00D774E2"/>
    <w:rsid w:val="00E00CFA"/>
    <w:rsid w:val="00E45863"/>
    <w:rsid w:val="00EF46C5"/>
    <w:rsid w:val="00F334C3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1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D1"/>
    <w:pPr>
      <w:ind w:left="720"/>
      <w:contextualSpacing/>
    </w:pPr>
  </w:style>
  <w:style w:type="table" w:styleId="a4">
    <w:name w:val="Table Grid"/>
    <w:basedOn w:val="a1"/>
    <w:uiPriority w:val="59"/>
    <w:rsid w:val="003C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45863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1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D1"/>
    <w:pPr>
      <w:ind w:left="720"/>
      <w:contextualSpacing/>
    </w:pPr>
  </w:style>
  <w:style w:type="table" w:styleId="a4">
    <w:name w:val="Table Grid"/>
    <w:basedOn w:val="a1"/>
    <w:uiPriority w:val="59"/>
    <w:rsid w:val="003C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45863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vikonkom6</cp:lastModifiedBy>
  <cp:revision>5</cp:revision>
  <cp:lastPrinted>2018-05-05T08:43:00Z</cp:lastPrinted>
  <dcterms:created xsi:type="dcterms:W3CDTF">2018-05-05T08:43:00Z</dcterms:created>
  <dcterms:modified xsi:type="dcterms:W3CDTF">2018-05-07T05:09:00Z</dcterms:modified>
</cp:coreProperties>
</file>