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rPr/>
      </w:pPr>
      <w:r>
        <w:rPr>
          <w:rFonts w:cs="Arial" w:ascii="Arial" w:hAnsi="Arial"/>
          <w:sz w:val="28"/>
          <w:szCs w:val="28"/>
        </w:rPr>
        <w:tab/>
        <w:tab/>
        <w:t xml:space="preserve">                                                      </w:t>
      </w:r>
      <w:r>
        <w:rPr>
          <w:rFonts w:cs="Arial" w:ascii="Arial" w:hAnsi="Arial"/>
        </w:rPr>
        <w:t xml:space="preserve">Додаток до рішення  </w:t>
      </w:r>
    </w:p>
    <w:p>
      <w:pPr>
        <w:pStyle w:val="Normal"/>
        <w:jc w:val="right"/>
        <w:rPr/>
      </w:pPr>
      <w:r>
        <w:rPr>
          <w:rFonts w:cs="Arial" w:ascii="Arial" w:hAnsi="Arial"/>
        </w:rPr>
        <w:t xml:space="preserve">         </w:t>
      </w:r>
      <w:r>
        <w:rPr>
          <w:rFonts w:cs="Arial" w:ascii="Arial" w:hAnsi="Arial"/>
        </w:rPr>
        <w:t>Білгород-Дністровської міської ради</w:t>
      </w:r>
    </w:p>
    <w:p>
      <w:pPr>
        <w:pStyle w:val="Normal"/>
        <w:jc w:val="right"/>
        <w:rPr/>
      </w:pPr>
      <w:r>
        <w:rPr>
          <w:rFonts w:cs="Arial" w:ascii="Arial" w:hAnsi="Arial"/>
        </w:rPr>
        <w:t xml:space="preserve">від </w:t>
      </w:r>
      <w:r>
        <w:rPr>
          <w:rFonts w:cs="Arial" w:ascii="Arial" w:hAnsi="Arial"/>
          <w:lang w:val="uk-UA"/>
        </w:rPr>
        <w:t>22.12.</w:t>
      </w:r>
      <w:r>
        <w:rPr>
          <w:rFonts w:cs="Arial" w:ascii="Arial" w:hAnsi="Arial"/>
        </w:rPr>
        <w:t>2016 року №  200</w:t>
      </w:r>
      <w:r>
        <w:rPr>
          <w:rFonts w:cs="Arial" w:ascii="Arial" w:hAnsi="Arial"/>
          <w:lang w:val="en-US"/>
        </w:rPr>
        <w:t>- VII</w:t>
      </w:r>
    </w:p>
    <w:p>
      <w:pPr>
        <w:pStyle w:val="Normal"/>
        <w:jc w:val="right"/>
        <w:rPr/>
      </w:pPr>
      <w:r>
        <w:rPr/>
      </w:r>
    </w:p>
    <w:p>
      <w:pPr>
        <w:pStyle w:val="Normal"/>
        <w:rPr/>
      </w:pPr>
      <w:r>
        <w:rPr/>
      </w:r>
    </w:p>
    <w:p>
      <w:pPr>
        <w:pStyle w:val="Normal"/>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rPr/>
      </w:pPr>
      <w:r>
        <w:rPr/>
      </w:r>
    </w:p>
    <w:p>
      <w:pPr>
        <w:pStyle w:val="Normal"/>
        <w:jc w:val="center"/>
        <w:rPr/>
      </w:pPr>
      <w:r>
        <w:rPr/>
      </w:r>
    </w:p>
    <w:p>
      <w:pPr>
        <w:pStyle w:val="Normal"/>
        <w:jc w:val="center"/>
        <w:rPr/>
      </w:pPr>
      <w:r>
        <w:rPr>
          <w:rFonts w:cs="Arial" w:ascii="Arial" w:hAnsi="Arial"/>
          <w:sz w:val="32"/>
          <w:szCs w:val="32"/>
        </w:rPr>
        <w:t>Міська програма</w:t>
      </w:r>
    </w:p>
    <w:p>
      <w:pPr>
        <w:pStyle w:val="Normal"/>
        <w:jc w:val="center"/>
        <w:rPr/>
      </w:pPr>
      <w:r>
        <w:rPr>
          <w:rFonts w:cs="Arial" w:ascii="Arial" w:hAnsi="Arial"/>
          <w:b/>
          <w:bCs/>
          <w:sz w:val="32"/>
          <w:szCs w:val="32"/>
        </w:rPr>
        <w:t>висвітлення діяльності Білгород-Дністровської міської ради, її виконавчих органів та</w:t>
      </w:r>
      <w:r>
        <w:rPr>
          <w:rFonts w:cs="Arial" w:ascii="Arial" w:hAnsi="Arial"/>
          <w:sz w:val="32"/>
          <w:szCs w:val="32"/>
        </w:rPr>
        <w:t xml:space="preserve"> сприяння подальшому вдосконаленню інформаційної сфери міста на 2017 рік</w:t>
      </w:r>
    </w:p>
    <w:p>
      <w:pPr>
        <w:pStyle w:val="Normal"/>
        <w:jc w:val="right"/>
        <w:rPr/>
      </w:pPr>
      <w:r>
        <w:rPr/>
      </w:r>
    </w:p>
    <w:p>
      <w:pPr>
        <w:pStyle w:val="Normal"/>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Fonts w:cs="Arial" w:ascii="Arial" w:hAnsi="Arial"/>
          <w:b/>
        </w:rPr>
        <w:t>Білгород-Дністровський</w:t>
      </w:r>
    </w:p>
    <w:p>
      <w:pPr>
        <w:pStyle w:val="Normal"/>
        <w:jc w:val="center"/>
        <w:rPr/>
      </w:pPr>
      <w:r>
        <w:rPr>
          <w:rFonts w:cs="Arial" w:ascii="Arial" w:hAnsi="Arial"/>
          <w:b/>
        </w:rPr>
        <w:t xml:space="preserve"> </w:t>
      </w:r>
      <w:r>
        <w:rPr>
          <w:rFonts w:cs="Arial" w:ascii="Arial" w:hAnsi="Arial"/>
          <w:b/>
        </w:rPr>
        <w:t>2017</w:t>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rPr/>
      </w:pPr>
      <w:r>
        <w:rPr/>
      </w:r>
    </w:p>
    <w:p>
      <w:pPr>
        <w:pStyle w:val="Normal"/>
        <w:spacing w:lineRule="auto" w:line="360"/>
        <w:jc w:val="center"/>
        <w:rPr/>
      </w:pPr>
      <w:r>
        <w:rPr>
          <w:rFonts w:cs="Arial" w:ascii="Arial" w:hAnsi="Arial"/>
          <w:b/>
          <w:bCs/>
          <w:caps/>
        </w:rPr>
        <w:t>Паспорт</w:t>
      </w:r>
    </w:p>
    <w:p>
      <w:pPr>
        <w:pStyle w:val="Normal"/>
        <w:jc w:val="center"/>
        <w:rPr/>
      </w:pPr>
      <w:r>
        <w:rPr>
          <w:rFonts w:cs="Arial" w:ascii="Arial" w:hAnsi="Arial"/>
        </w:rPr>
        <w:t xml:space="preserve">Програми </w:t>
      </w:r>
      <w:r>
        <w:rPr>
          <w:rFonts w:cs="Arial" w:ascii="Arial" w:hAnsi="Arial"/>
          <w:b/>
          <w:bCs/>
        </w:rPr>
        <w:t xml:space="preserve">висвітлення діяльності Білгород-Дністровської міської ради, її виконавчих органів та </w:t>
      </w:r>
      <w:r>
        <w:rPr>
          <w:rFonts w:cs="Arial" w:ascii="Arial" w:hAnsi="Arial"/>
        </w:rPr>
        <w:t>сприяння подальшому вдосконаленню інформаційної сфери міста на 2017 рік</w:t>
      </w:r>
    </w:p>
    <w:p>
      <w:pPr>
        <w:pStyle w:val="Normal"/>
        <w:jc w:val="center"/>
        <w:rPr/>
      </w:pPr>
      <w:r>
        <w:rPr/>
      </w:r>
    </w:p>
    <w:tbl>
      <w:tblPr>
        <w:tblW w:w="9330" w:type="dxa"/>
        <w:jc w:val="left"/>
        <w:tblInd w:w="-158" w:type="dxa"/>
        <w:tblBorders>
          <w:top w:val="single" w:sz="4" w:space="0" w:color="000001"/>
          <w:left w:val="single" w:sz="4" w:space="0" w:color="000001"/>
          <w:bottom w:val="single" w:sz="4" w:space="0" w:color="000001"/>
          <w:insideH w:val="single" w:sz="4" w:space="0" w:color="000001"/>
        </w:tblBorders>
        <w:tblCellMar>
          <w:top w:w="0" w:type="dxa"/>
          <w:left w:w="73" w:type="dxa"/>
          <w:bottom w:w="0" w:type="dxa"/>
          <w:right w:w="108" w:type="dxa"/>
        </w:tblCellMar>
      </w:tblPr>
      <w:tblGrid>
        <w:gridCol w:w="636"/>
        <w:gridCol w:w="3895"/>
        <w:gridCol w:w="4799"/>
      </w:tblGrid>
      <w:tr>
        <w:trPr/>
        <w:tc>
          <w:tcPr>
            <w:tcW w:w="63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Fonts w:cs="Arial" w:ascii="Arial" w:hAnsi="Arial"/>
                <w:color w:val="000000"/>
              </w:rPr>
              <w:t>1.</w:t>
            </w:r>
          </w:p>
        </w:tc>
        <w:tc>
          <w:tcPr>
            <w:tcW w:w="389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rFonts w:cs="Arial" w:ascii="Arial" w:hAnsi="Arial"/>
                <w:color w:val="000000"/>
              </w:rPr>
              <w:t>Назва програми</w:t>
            </w:r>
          </w:p>
        </w:tc>
        <w:tc>
          <w:tcPr>
            <w:tcW w:w="4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rFonts w:cs="Arial" w:ascii="Arial" w:hAnsi="Arial"/>
                <w:b w:val="false"/>
                <w:color w:val="000000"/>
              </w:rPr>
              <w:t xml:space="preserve">Програма </w:t>
            </w:r>
            <w:r>
              <w:rPr>
                <w:rFonts w:cs="Arial" w:ascii="Arial" w:hAnsi="Arial"/>
                <w:bCs/>
                <w:color w:val="000000"/>
              </w:rPr>
              <w:t>висвітлення діяльності Білгород-Дністровської міської ради, її виконавчих органів та</w:t>
            </w:r>
            <w:r>
              <w:rPr>
                <w:rFonts w:cs="Arial" w:ascii="Arial" w:hAnsi="Arial"/>
                <w:color w:val="000000"/>
              </w:rPr>
              <w:t xml:space="preserve"> </w:t>
            </w:r>
            <w:r>
              <w:rPr>
                <w:rFonts w:cs="Arial" w:ascii="Arial" w:hAnsi="Arial"/>
                <w:b w:val="false"/>
                <w:color w:val="000000"/>
              </w:rPr>
              <w:t>сприяння подальшому вдосконаленню інформаційної сфери міста на 2017 рік</w:t>
            </w:r>
          </w:p>
        </w:tc>
      </w:tr>
      <w:tr>
        <w:trPr/>
        <w:tc>
          <w:tcPr>
            <w:tcW w:w="63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Fonts w:cs="Arial" w:ascii="Arial" w:hAnsi="Arial"/>
                <w:color w:val="000000"/>
              </w:rPr>
              <w:t>2.</w:t>
            </w:r>
          </w:p>
        </w:tc>
        <w:tc>
          <w:tcPr>
            <w:tcW w:w="389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rFonts w:cs="Arial" w:ascii="Arial" w:hAnsi="Arial"/>
                <w:color w:val="000000"/>
              </w:rPr>
              <w:t xml:space="preserve">Термін виконання Програми </w:t>
            </w:r>
          </w:p>
        </w:tc>
        <w:tc>
          <w:tcPr>
            <w:tcW w:w="4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rFonts w:cs="Arial" w:ascii="Arial" w:hAnsi="Arial"/>
                <w:color w:val="000000"/>
              </w:rPr>
              <w:t>Протягом 2017 року</w:t>
            </w:r>
          </w:p>
        </w:tc>
      </w:tr>
      <w:tr>
        <w:trPr/>
        <w:tc>
          <w:tcPr>
            <w:tcW w:w="63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Fonts w:cs="Arial" w:ascii="Arial" w:hAnsi="Arial"/>
                <w:color w:val="000000"/>
              </w:rPr>
              <w:t>3.</w:t>
            </w:r>
          </w:p>
        </w:tc>
        <w:tc>
          <w:tcPr>
            <w:tcW w:w="389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rFonts w:cs="Arial" w:ascii="Arial" w:hAnsi="Arial"/>
                <w:color w:val="000000"/>
              </w:rPr>
              <w:t>Замовник Програми</w:t>
            </w:r>
          </w:p>
        </w:tc>
        <w:tc>
          <w:tcPr>
            <w:tcW w:w="4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rFonts w:cs="Arial" w:ascii="Arial" w:hAnsi="Arial"/>
                <w:color w:val="000000"/>
              </w:rPr>
              <w:t>Білгород-Дністровська міська рада</w:t>
            </w:r>
          </w:p>
        </w:tc>
      </w:tr>
      <w:tr>
        <w:trPr/>
        <w:tc>
          <w:tcPr>
            <w:tcW w:w="63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Fonts w:cs="Arial" w:ascii="Arial" w:hAnsi="Arial"/>
                <w:color w:val="000000"/>
              </w:rPr>
              <w:t>4.</w:t>
            </w:r>
          </w:p>
        </w:tc>
        <w:tc>
          <w:tcPr>
            <w:tcW w:w="389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rFonts w:cs="Arial" w:ascii="Arial" w:hAnsi="Arial"/>
                <w:color w:val="000000"/>
              </w:rPr>
              <w:t>Розробник Програми</w:t>
            </w:r>
          </w:p>
        </w:tc>
        <w:tc>
          <w:tcPr>
            <w:tcW w:w="4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rFonts w:cs="Arial" w:ascii="Arial" w:hAnsi="Arial"/>
                <w:color w:val="000000"/>
              </w:rPr>
              <w:t>Відділ з питань внутрішньої політики та взаємодії з правоохоронними органами</w:t>
            </w:r>
          </w:p>
        </w:tc>
      </w:tr>
      <w:tr>
        <w:trPr/>
        <w:tc>
          <w:tcPr>
            <w:tcW w:w="63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Fonts w:cs="Arial" w:ascii="Arial" w:hAnsi="Arial"/>
                <w:color w:val="000000"/>
              </w:rPr>
              <w:t>5.</w:t>
            </w:r>
          </w:p>
        </w:tc>
        <w:tc>
          <w:tcPr>
            <w:tcW w:w="389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rFonts w:cs="Arial" w:ascii="Arial" w:hAnsi="Arial"/>
                <w:color w:val="000000"/>
              </w:rPr>
              <w:t>Відповідальний виконавець</w:t>
            </w:r>
          </w:p>
        </w:tc>
        <w:tc>
          <w:tcPr>
            <w:tcW w:w="4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rFonts w:cs="Arial" w:ascii="Arial" w:hAnsi="Arial"/>
                <w:color w:val="000000"/>
              </w:rPr>
              <w:t>Відділ з питань внутрішньої політики та взаємодії з правоохоронними органами</w:t>
            </w:r>
          </w:p>
        </w:tc>
      </w:tr>
      <w:tr>
        <w:trPr/>
        <w:tc>
          <w:tcPr>
            <w:tcW w:w="63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Fonts w:cs="Arial" w:ascii="Arial" w:hAnsi="Arial"/>
                <w:color w:val="000000"/>
              </w:rPr>
              <w:t>6.</w:t>
            </w:r>
          </w:p>
        </w:tc>
        <w:tc>
          <w:tcPr>
            <w:tcW w:w="389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rFonts w:cs="Arial" w:ascii="Arial" w:hAnsi="Arial"/>
                <w:color w:val="000000"/>
              </w:rPr>
              <w:t xml:space="preserve">Очікуванні результати </w:t>
            </w:r>
          </w:p>
        </w:tc>
        <w:tc>
          <w:tcPr>
            <w:tcW w:w="4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both"/>
              <w:rPr/>
            </w:pPr>
            <w:r>
              <w:rPr>
                <w:rFonts w:cs="Arial" w:ascii="Arial" w:hAnsi="Arial"/>
                <w:color w:val="000000"/>
              </w:rPr>
              <w:t>підвищення повноти та оперативності інформування територіальної громади міста про діяльність місцевих органів влади з актуальних питань соціально-економічного та суспільно-політичного життя міста, області та країни; подальше забезпечення відкритості діяльності органів місцевої влади, прозорість прийняття та виконання рішень Білгород-Дністровської міської ради та її виконавчих органів, високий рівень контролю за їх виконанням; забезпечення індивідуальних інформаційних потреб населення міста з отримання необхідної інформації стосовно діяльності місцевих органів влади; поліпшення іміджу Білгорода-Дністровського як інвестиційно привабливого культурного та туристичного міста.</w:t>
            </w:r>
          </w:p>
          <w:p>
            <w:pPr>
              <w:pStyle w:val="Normal"/>
              <w:rPr/>
            </w:pPr>
            <w:r>
              <w:rPr/>
            </w:r>
          </w:p>
        </w:tc>
      </w:tr>
      <w:tr>
        <w:trPr/>
        <w:tc>
          <w:tcPr>
            <w:tcW w:w="63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Fonts w:cs="Arial" w:ascii="Arial" w:hAnsi="Arial"/>
                <w:color w:val="000000"/>
              </w:rPr>
              <w:t>7.</w:t>
            </w:r>
          </w:p>
        </w:tc>
        <w:tc>
          <w:tcPr>
            <w:tcW w:w="389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rFonts w:cs="Arial" w:ascii="Arial" w:hAnsi="Arial"/>
                <w:color w:val="000000"/>
              </w:rPr>
              <w:t>Об’єми фінансових ресурсів необхідних для реалізації Програми</w:t>
            </w:r>
          </w:p>
        </w:tc>
        <w:tc>
          <w:tcPr>
            <w:tcW w:w="4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rFonts w:cs="Arial" w:ascii="Arial" w:hAnsi="Arial"/>
                <w:color w:val="000000"/>
              </w:rPr>
              <w:t>684,0 тис. грн.</w:t>
            </w:r>
          </w:p>
        </w:tc>
      </w:tr>
      <w:tr>
        <w:trPr/>
        <w:tc>
          <w:tcPr>
            <w:tcW w:w="63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Fonts w:cs="Arial" w:ascii="Arial" w:hAnsi="Arial"/>
                <w:color w:val="000000"/>
              </w:rPr>
              <w:t>7.1.</w:t>
            </w:r>
          </w:p>
        </w:tc>
        <w:tc>
          <w:tcPr>
            <w:tcW w:w="389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rFonts w:cs="Arial" w:ascii="Arial" w:hAnsi="Arial"/>
                <w:color w:val="000000"/>
              </w:rPr>
              <w:t>У тому разі кошти міського бюджету</w:t>
            </w:r>
          </w:p>
        </w:tc>
        <w:tc>
          <w:tcPr>
            <w:tcW w:w="479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rFonts w:cs="Arial" w:ascii="Arial" w:hAnsi="Arial"/>
                <w:color w:val="000000"/>
              </w:rPr>
              <w:t>684,0 тис. грн.</w:t>
            </w:r>
          </w:p>
        </w:tc>
      </w:tr>
    </w:tbl>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rPr/>
      </w:pPr>
      <w:r>
        <w:rPr/>
      </w:r>
    </w:p>
    <w:p>
      <w:pPr>
        <w:pStyle w:val="Normal"/>
        <w:rPr/>
      </w:pPr>
      <w:r>
        <w:rPr/>
      </w:r>
    </w:p>
    <w:p>
      <w:pPr>
        <w:pStyle w:val="Normal"/>
        <w:jc w:val="center"/>
        <w:rPr/>
      </w:pPr>
      <w:r>
        <w:rPr>
          <w:rFonts w:cs="Arial"/>
          <w:sz w:val="28"/>
          <w:szCs w:val="28"/>
        </w:rPr>
        <w:t> </w:t>
      </w:r>
      <w:r>
        <w:rPr>
          <w:rFonts w:cs="Arial"/>
          <w:sz w:val="28"/>
          <w:szCs w:val="28"/>
        </w:rPr>
        <w:t>І. З</w:t>
      </w:r>
      <w:r>
        <w:rPr>
          <w:b/>
          <w:bCs/>
          <w:color w:val="000000"/>
          <w:sz w:val="28"/>
          <w:szCs w:val="28"/>
        </w:rPr>
        <w:t>агальна частина</w:t>
      </w:r>
    </w:p>
    <w:p>
      <w:pPr>
        <w:pStyle w:val="Normal"/>
        <w:jc w:val="both"/>
        <w:rPr/>
      </w:pPr>
      <w:r>
        <w:rPr/>
      </w:r>
    </w:p>
    <w:p>
      <w:pPr>
        <w:pStyle w:val="Normal"/>
        <w:jc w:val="both"/>
        <w:rPr/>
      </w:pPr>
      <w:r>
        <w:rPr>
          <w:color w:val="000000"/>
          <w:sz w:val="28"/>
          <w:szCs w:val="28"/>
        </w:rPr>
        <w:t xml:space="preserve">1.1. Програма </w:t>
      </w:r>
      <w:r>
        <w:rPr>
          <w:bCs/>
          <w:sz w:val="28"/>
          <w:szCs w:val="28"/>
        </w:rPr>
        <w:t>висвітлення діяльності Білгород-Дністровської міської ради, її виконавчих органів та</w:t>
      </w:r>
      <w:r>
        <w:rPr>
          <w:sz w:val="28"/>
          <w:szCs w:val="28"/>
        </w:rPr>
        <w:t xml:space="preserve"> </w:t>
      </w:r>
      <w:r>
        <w:rPr>
          <w:b w:val="false"/>
          <w:sz w:val="28"/>
          <w:szCs w:val="28"/>
        </w:rPr>
        <w:t xml:space="preserve">сприяння подальшому вдосконаленню інформаційної сфери міста на 2017 рік </w:t>
      </w:r>
      <w:r>
        <w:rPr>
          <w:color w:val="000000"/>
          <w:sz w:val="28"/>
          <w:szCs w:val="28"/>
        </w:rPr>
        <w:t xml:space="preserve"> (надалі – Програма) визначає правові, організаційні і фінансові основи регулювання відносин щодо співпраці органів місцевого самоврядування м. Білгород-Дністровський з теле- і радіомовними організаціями, друкованими засобами масової інформації, інформаційними агентствами, іншими засобами масової інформації та суб’єктами господарювання з питань висвітлення її діяльності (надалі – засоби масової інформації).</w:t>
      </w:r>
    </w:p>
    <w:p>
      <w:pPr>
        <w:pStyle w:val="Normal"/>
        <w:ind w:left="0" w:right="0" w:firstLine="708"/>
        <w:jc w:val="both"/>
        <w:rPr/>
      </w:pPr>
      <w:r>
        <w:rPr>
          <w:color w:val="000000"/>
          <w:sz w:val="28"/>
          <w:szCs w:val="28"/>
        </w:rPr>
        <w:t>1.2. Програма розроблена відповідно до Конституції України, Законів України “Про інформацію“, “Про місцеве самоврядування в Україні“, “Про друковані засоби масової інформації (пресу) в Україні“, “Про телебачення і радіомовлення“, “Про порядок висвітлення діяльності органів державної влади та органів місцевого самоврядування в Україні засобами масової інформації“,</w:t>
      </w:r>
      <w:r>
        <w:rPr>
          <w:rFonts w:cs="Arial"/>
          <w:color w:val="000000"/>
          <w:sz w:val="28"/>
          <w:szCs w:val="28"/>
        </w:rPr>
        <w:t xml:space="preserve">Указів Президента України: від 01.08.2002 р. № 683/2002 «Про додаткові заходи щодо забезпечення відкритості у діяльності органів державної влади», від 17.02.2001р. №1323 «Про удосконалення діяльності органів виконавчої влади з питань інформування населення», Постанов Кабінету Міністрів України: від 29.08.2002 р.  №1302 «Про заходи щодо подальшого забезпечення відкритості у діяльності органів виконавчої влади», від 04.01.2002 р. №3 «Про порядок оприлюднення у мережі Інтернет інформації про діяльність органів виконавчої влади», та керуючись п.22 ч.1 ст.26 та ч.1 ст.59 Закону України «Про місцеве самоврядування в Україні», Регламенту Білгород-Дністровської міської ради VІІ скликання, Регламенту виконавчого комітету Білгород-дністровської міської ради, пріоритету F. «Активна громада» «Стратегічного плану економічного та соціального розвитку міста Білгорода-Дністровського на період до 2017 року». </w:t>
      </w:r>
    </w:p>
    <w:p>
      <w:pPr>
        <w:pStyle w:val="Normal"/>
        <w:ind w:left="0" w:right="0" w:firstLine="708"/>
        <w:jc w:val="both"/>
        <w:rPr/>
      </w:pPr>
      <w:r>
        <w:rPr>
          <w:rFonts w:cs="Arial"/>
          <w:b w:val="false"/>
          <w:bCs w:val="false"/>
          <w:color w:val="000000"/>
          <w:sz w:val="28"/>
          <w:szCs w:val="28"/>
        </w:rPr>
        <w:t>1.3. Програма поширює свою дію на висвітлення діяльності Білгород-Дністровського міського голови, Білгород-Дністровської міської ради, виконавчого комітету, депутатів, виконавчих органів і посадових осіб міської ради, органів самоорганізації населення (надалі – міська рада, її виконавчі органи, посадові особи та депутати).</w:t>
      </w:r>
    </w:p>
    <w:p>
      <w:pPr>
        <w:pStyle w:val="Normal"/>
        <w:ind w:left="0" w:right="0" w:firstLine="708"/>
        <w:jc w:val="both"/>
        <w:rPr/>
      </w:pPr>
      <w:r>
        <w:rPr/>
      </w:r>
    </w:p>
    <w:p>
      <w:pPr>
        <w:pStyle w:val="Normal"/>
        <w:jc w:val="both"/>
        <w:rPr/>
      </w:pPr>
      <w:r>
        <w:rPr>
          <w:rFonts w:cs="Arial" w:ascii="Arial" w:hAnsi="Arial"/>
          <w:bCs/>
        </w:rPr>
        <w:t xml:space="preserve">         </w:t>
      </w:r>
    </w:p>
    <w:p>
      <w:pPr>
        <w:pStyle w:val="Normal"/>
        <w:jc w:val="both"/>
        <w:rPr/>
      </w:pPr>
      <w:r>
        <w:rPr/>
      </w:r>
    </w:p>
    <w:p>
      <w:pPr>
        <w:pStyle w:val="Normal"/>
        <w:jc w:val="center"/>
        <w:rPr/>
      </w:pPr>
      <w:r>
        <w:rPr>
          <w:sz w:val="28"/>
          <w:szCs w:val="28"/>
        </w:rPr>
        <w:t>2. Мета та  завдання Програми </w:t>
      </w:r>
    </w:p>
    <w:p>
      <w:pPr>
        <w:pStyle w:val="Normal"/>
        <w:shd w:val="clear" w:fill="FFFFFF"/>
        <w:jc w:val="both"/>
        <w:rPr/>
      </w:pPr>
      <w:r>
        <w:rPr>
          <w:color w:val="000000"/>
          <w:sz w:val="28"/>
          <w:szCs w:val="28"/>
        </w:rPr>
        <w:t xml:space="preserve">2.1.  Метою Програми є забезпечення відкритості і прозорості у діяльності міської ради, її виконавчих органів, посадових осіб та депутатів через залучення засобів масової інформації до висвітлення їх діяльності, сприяння безперешкодній реалізації конституційного права громадян на інформацію і свободу слова.  </w:t>
      </w:r>
      <w:r>
        <w:rPr>
          <w:color w:val="000000"/>
          <w:sz w:val="28"/>
          <w:szCs w:val="28"/>
          <w:shd w:fill="FFFFFF" w:val="clear"/>
        </w:rPr>
        <w:t>Розвиток єдиного інформаційного простору міста і впровадження організаційно-правових, технічних та інформаційних заходів із забезпечення прозорості діяльності міської влади мають пріоритетне значення.</w:t>
      </w:r>
    </w:p>
    <w:p>
      <w:pPr>
        <w:pStyle w:val="Normal"/>
        <w:ind w:left="0" w:right="0" w:firstLine="708"/>
        <w:jc w:val="both"/>
        <w:rPr/>
      </w:pPr>
      <w:r>
        <w:rPr>
          <w:color w:val="000000"/>
          <w:sz w:val="28"/>
          <w:szCs w:val="28"/>
        </w:rPr>
        <w:t>2.2. Основними завданнями Програми є:</w:t>
      </w:r>
    </w:p>
    <w:p>
      <w:pPr>
        <w:pStyle w:val="Normal"/>
        <w:ind w:left="0" w:right="0" w:firstLine="708"/>
        <w:jc w:val="both"/>
        <w:rPr/>
      </w:pPr>
      <w:r>
        <w:rPr>
          <w:color w:val="000000"/>
          <w:sz w:val="28"/>
          <w:szCs w:val="28"/>
        </w:rPr>
        <w:t>2.2.1. Інформування мешканців міста про діяльність міської ради, її виконавчих органів, посадових осіб та депутатів.</w:t>
      </w:r>
    </w:p>
    <w:p>
      <w:pPr>
        <w:pStyle w:val="Normal"/>
        <w:ind w:left="0" w:right="0" w:firstLine="708"/>
        <w:jc w:val="both"/>
        <w:rPr/>
      </w:pPr>
      <w:r>
        <w:rPr>
          <w:color w:val="000000"/>
          <w:sz w:val="28"/>
          <w:szCs w:val="28"/>
        </w:rPr>
        <w:t>2.2.2. Організація процесу висвітлення діяльності міської ради, її виконавчих органів, посадових осіб та депутатів через засоби масової інформації.</w:t>
      </w:r>
    </w:p>
    <w:p>
      <w:pPr>
        <w:pStyle w:val="Normal"/>
        <w:ind w:left="0" w:right="0" w:firstLine="708"/>
        <w:jc w:val="both"/>
        <w:rPr/>
      </w:pPr>
      <w:r>
        <w:rPr>
          <w:color w:val="000000"/>
          <w:sz w:val="28"/>
          <w:szCs w:val="28"/>
        </w:rPr>
        <w:t>2.2.3. Забезпечення подання інформації на засадах своєчасності, систематичності, повноти, всебічності та об’єктивності.</w:t>
      </w:r>
    </w:p>
    <w:p>
      <w:pPr>
        <w:pStyle w:val="Normal"/>
        <w:ind w:left="0" w:right="0" w:firstLine="708"/>
        <w:jc w:val="both"/>
        <w:rPr/>
      </w:pPr>
      <w:r>
        <w:rPr>
          <w:color w:val="000000"/>
          <w:sz w:val="28"/>
          <w:szCs w:val="28"/>
        </w:rPr>
        <w:t>2.2.4. Забезпечення реалізації конституційного права громадян на вільний доступ до інформації, впровадження нових ефективних форм взаємодії міської ради з територіальною громадою міста.</w:t>
      </w:r>
    </w:p>
    <w:p>
      <w:pPr>
        <w:pStyle w:val="Normal"/>
        <w:ind w:left="0" w:right="0" w:firstLine="708"/>
        <w:jc w:val="both"/>
        <w:rPr/>
      </w:pPr>
      <w:r>
        <w:rPr>
          <w:color w:val="000000"/>
          <w:sz w:val="28"/>
          <w:szCs w:val="28"/>
        </w:rPr>
        <w:t>2.2.5. Забезпечення інформаційно-роз’яснювальної роботи щодо прав та обов’язків мешканців міста з питань місцевого значення.</w:t>
      </w:r>
    </w:p>
    <w:p>
      <w:pPr>
        <w:pStyle w:val="Normal"/>
        <w:ind w:left="0" w:right="0" w:firstLine="708"/>
        <w:jc w:val="both"/>
        <w:rPr/>
      </w:pPr>
      <w:r>
        <w:rPr>
          <w:color w:val="000000"/>
          <w:sz w:val="28"/>
          <w:szCs w:val="28"/>
        </w:rPr>
        <w:t>2.2.6. По</w:t>
      </w:r>
      <w:r>
        <w:rPr>
          <w:sz w:val="28"/>
          <w:szCs w:val="28"/>
        </w:rPr>
        <w:t xml:space="preserve">ширення інформації про місто Білгород-Дністровський, його ресурси, інвестиційний клімат, перспективи розвитку провідних галузей міського господарства для залучення інвестицій. </w:t>
      </w:r>
    </w:p>
    <w:p>
      <w:pPr>
        <w:pStyle w:val="Normal"/>
        <w:ind w:left="0" w:right="0" w:firstLine="708"/>
        <w:jc w:val="both"/>
        <w:rPr/>
      </w:pPr>
      <w:r>
        <w:rPr>
          <w:sz w:val="28"/>
          <w:szCs w:val="28"/>
        </w:rPr>
        <w:t xml:space="preserve">2.2.7. Фінансова підтримка телерадіокомпанії «Новини Придністров’я», співзасновником якої є Білгород-Дністровська міська рада, зміцнення її матеріально-технічної бази для розширення медіа-можливостей. </w:t>
      </w:r>
    </w:p>
    <w:p>
      <w:pPr>
        <w:pStyle w:val="Normal"/>
        <w:ind w:left="0" w:right="0" w:firstLine="708"/>
        <w:jc w:val="both"/>
        <w:rPr/>
      </w:pPr>
      <w:r>
        <w:rPr>
          <w:sz w:val="28"/>
          <w:szCs w:val="28"/>
        </w:rPr>
        <w:t xml:space="preserve">2.2.8. Проведення організаційних та технічних заходів з підтримки офіційного веб-порталу міста Білгорода-Дністровського </w:t>
      </w:r>
      <w:hyperlink r:id="rId2">
        <w:r>
          <w:rPr>
            <w:rStyle w:val="Style13"/>
            <w:sz w:val="28"/>
            <w:szCs w:val="28"/>
          </w:rPr>
          <w:t>www</w:t>
        </w:r>
      </w:hyperlink>
      <w:hyperlink r:id="rId3">
        <w:r>
          <w:rPr>
            <w:rStyle w:val="Style13"/>
            <w:sz w:val="28"/>
            <w:szCs w:val="28"/>
          </w:rPr>
          <w:t>.</w:t>
        </w:r>
      </w:hyperlink>
      <w:hyperlink r:id="rId4">
        <w:r>
          <w:rPr>
            <w:rStyle w:val="Style13"/>
            <w:sz w:val="28"/>
            <w:szCs w:val="28"/>
          </w:rPr>
          <w:t>bilgorod</w:t>
        </w:r>
      </w:hyperlink>
      <w:hyperlink r:id="rId5">
        <w:r>
          <w:rPr>
            <w:rStyle w:val="Style13"/>
            <w:sz w:val="28"/>
            <w:szCs w:val="28"/>
          </w:rPr>
          <w:t>-</w:t>
        </w:r>
      </w:hyperlink>
      <w:hyperlink r:id="rId6">
        <w:r>
          <w:rPr>
            <w:rStyle w:val="Style13"/>
            <w:sz w:val="28"/>
            <w:szCs w:val="28"/>
          </w:rPr>
          <w:t>d</w:t>
        </w:r>
      </w:hyperlink>
      <w:hyperlink r:id="rId7">
        <w:r>
          <w:rPr>
            <w:rStyle w:val="Style13"/>
            <w:sz w:val="28"/>
            <w:szCs w:val="28"/>
          </w:rPr>
          <w:t>.</w:t>
        </w:r>
      </w:hyperlink>
      <w:hyperlink r:id="rId8">
        <w:r>
          <w:rPr>
            <w:rStyle w:val="Style13"/>
            <w:sz w:val="28"/>
            <w:szCs w:val="28"/>
          </w:rPr>
          <w:t>org</w:t>
        </w:r>
      </w:hyperlink>
      <w:hyperlink r:id="rId9">
        <w:r>
          <w:rPr>
            <w:rStyle w:val="Style13"/>
            <w:sz w:val="28"/>
            <w:szCs w:val="28"/>
          </w:rPr>
          <w:t>.</w:t>
        </w:r>
      </w:hyperlink>
      <w:hyperlink r:id="rId10">
        <w:r>
          <w:rPr>
            <w:rStyle w:val="Style13"/>
            <w:sz w:val="28"/>
            <w:szCs w:val="28"/>
          </w:rPr>
          <w:t>ua</w:t>
        </w:r>
      </w:hyperlink>
      <w:r>
        <w:rPr>
          <w:sz w:val="28"/>
          <w:szCs w:val="28"/>
        </w:rPr>
        <w:t xml:space="preserve"> </w:t>
      </w:r>
    </w:p>
    <w:p>
      <w:pPr>
        <w:pStyle w:val="Normal"/>
        <w:ind w:left="0" w:right="0" w:firstLine="708"/>
        <w:jc w:val="both"/>
        <w:rPr/>
      </w:pPr>
      <w:r>
        <w:rPr>
          <w:sz w:val="28"/>
          <w:szCs w:val="28"/>
        </w:rPr>
        <w:t>2.2.9. Забезпечення участі громадян міста в обговоренні проектів нормативних правових актів та міських цільових програм, що розробляються органами місцевого самоврядування.</w:t>
      </w:r>
    </w:p>
    <w:p>
      <w:pPr>
        <w:pStyle w:val="Normal"/>
        <w:jc w:val="both"/>
        <w:rPr/>
      </w:pPr>
      <w:r>
        <w:rPr/>
      </w:r>
    </w:p>
    <w:p>
      <w:pPr>
        <w:pStyle w:val="Normal"/>
        <w:jc w:val="both"/>
        <w:rPr/>
      </w:pPr>
      <w:r>
        <w:rPr/>
      </w:r>
    </w:p>
    <w:p>
      <w:pPr>
        <w:pStyle w:val="Normal"/>
        <w:jc w:val="both"/>
        <w:rPr/>
      </w:pPr>
      <w:r>
        <w:rPr/>
      </w:r>
    </w:p>
    <w:p>
      <w:pPr>
        <w:pStyle w:val="Normal"/>
        <w:jc w:val="center"/>
        <w:rPr/>
      </w:pPr>
      <w:r>
        <w:rPr/>
      </w:r>
    </w:p>
    <w:p>
      <w:pPr>
        <w:pStyle w:val="Normal"/>
        <w:jc w:val="center"/>
        <w:rPr/>
      </w:pPr>
      <w:r>
        <w:rPr>
          <w:b/>
          <w:bCs/>
          <w:color w:val="000000"/>
          <w:sz w:val="28"/>
          <w:szCs w:val="28"/>
        </w:rPr>
        <w:t>3. Предмет та основні засади висвітлення діяльності міської ради у засобах масової інформації</w:t>
      </w:r>
    </w:p>
    <w:p>
      <w:pPr>
        <w:pStyle w:val="Normal"/>
        <w:jc w:val="both"/>
        <w:rPr/>
      </w:pPr>
      <w:r>
        <w:rPr>
          <w:color w:val="000000"/>
          <w:sz w:val="28"/>
          <w:szCs w:val="28"/>
        </w:rPr>
        <w:t xml:space="preserve">          </w:t>
      </w:r>
      <w:r>
        <w:rPr>
          <w:color w:val="000000"/>
          <w:sz w:val="28"/>
          <w:szCs w:val="28"/>
        </w:rPr>
        <w:t>3.1. Предметом висвітлення виступає діяльність Білгород-Дністровської міської ради, депутатів, Білгород-Дністровського міського голови, виконавчих органів і посадових осіб ради, органів самоорганізації населення.</w:t>
      </w:r>
    </w:p>
    <w:p>
      <w:pPr>
        <w:pStyle w:val="Normal"/>
        <w:jc w:val="both"/>
        <w:rPr/>
      </w:pPr>
      <w:r>
        <w:rPr/>
      </w:r>
    </w:p>
    <w:p>
      <w:pPr>
        <w:pStyle w:val="Normal"/>
        <w:jc w:val="both"/>
        <w:rPr/>
      </w:pPr>
      <w:r>
        <w:rPr>
          <w:color w:val="000000"/>
          <w:sz w:val="28"/>
          <w:szCs w:val="28"/>
        </w:rPr>
        <w:t xml:space="preserve">       </w:t>
      </w:r>
      <w:r>
        <w:rPr>
          <w:color w:val="000000"/>
          <w:sz w:val="28"/>
          <w:szCs w:val="28"/>
        </w:rPr>
        <w:t>3.2. Пріоритетними темами для висвітлення діяльності визнаються:</w:t>
      </w:r>
    </w:p>
    <w:p>
      <w:pPr>
        <w:pStyle w:val="Normal"/>
        <w:jc w:val="both"/>
        <w:rPr/>
      </w:pPr>
      <w:r>
        <w:rPr>
          <w:color w:val="000000"/>
          <w:sz w:val="28"/>
          <w:szCs w:val="28"/>
        </w:rPr>
        <w:t>3.2.1. Прийняті міською радою, міським головою, виконавчим комітетом та іншими виконавчими органами нормативні акти, програмні документи та інші рішення.</w:t>
      </w:r>
    </w:p>
    <w:p>
      <w:pPr>
        <w:pStyle w:val="Normal"/>
        <w:jc w:val="both"/>
        <w:rPr/>
      </w:pPr>
      <w:r>
        <w:rPr>
          <w:color w:val="000000"/>
          <w:sz w:val="28"/>
          <w:szCs w:val="28"/>
        </w:rPr>
        <w:t>3.2.2. Роз’яснення рішень міської ради, постійних та інших комісій ради, міського голови і виконавчих органів, їх наслідків для мешканців міста та механізмів реалізації.</w:t>
      </w:r>
    </w:p>
    <w:p>
      <w:pPr>
        <w:pStyle w:val="Normal"/>
        <w:jc w:val="both"/>
        <w:rPr/>
      </w:pPr>
      <w:r>
        <w:rPr>
          <w:color w:val="000000"/>
          <w:sz w:val="28"/>
          <w:szCs w:val="28"/>
        </w:rPr>
        <w:t>3.2.3. Роз’яснення прав та обов’язків мешканців в їх адміністративних відносинах з органами місцевого самоврядування, комунальними підприємствами, міськими закладами освіти, охорони здоров’я тощо.</w:t>
      </w:r>
    </w:p>
    <w:p>
      <w:pPr>
        <w:pStyle w:val="Normal"/>
        <w:jc w:val="both"/>
        <w:rPr/>
      </w:pPr>
      <w:r>
        <w:rPr>
          <w:color w:val="000000"/>
          <w:sz w:val="28"/>
          <w:szCs w:val="28"/>
        </w:rPr>
        <w:t>3.2.4. Інформування про діяльність міського голови, його заступників, виконавчих органів і посадових осіб міської ради, оприлюднення їх офіційної позиції та надання коментарів стосовно важливих тем у житті міста.</w:t>
      </w:r>
    </w:p>
    <w:p>
      <w:pPr>
        <w:pStyle w:val="Normal"/>
        <w:jc w:val="both"/>
        <w:rPr/>
      </w:pPr>
      <w:r>
        <w:rPr>
          <w:color w:val="000000"/>
          <w:sz w:val="28"/>
          <w:szCs w:val="28"/>
        </w:rPr>
        <w:t>3.2.5. Інформування про діяльність міської ради, постійних і тимчасових комісій, секретаря ради, депутатів ради, оприлюднення їх офіційної позиції та надання коментарів стосовно важливих тем у житті міста.</w:t>
      </w:r>
    </w:p>
    <w:p>
      <w:pPr>
        <w:pStyle w:val="Normal"/>
        <w:jc w:val="both"/>
        <w:rPr/>
      </w:pPr>
      <w:r>
        <w:rPr>
          <w:color w:val="000000"/>
          <w:sz w:val="28"/>
          <w:szCs w:val="28"/>
        </w:rPr>
        <w:t>3.2.6. Інформування про підготовку, перебіг та результати сесій і пленарних засідань міської ради, висновки та рекомендації постійних комісій тощо.</w:t>
      </w:r>
    </w:p>
    <w:p>
      <w:pPr>
        <w:pStyle w:val="Normal"/>
        <w:jc w:val="both"/>
        <w:rPr/>
      </w:pPr>
      <w:r>
        <w:rPr>
          <w:color w:val="000000"/>
          <w:sz w:val="28"/>
          <w:szCs w:val="28"/>
        </w:rPr>
        <w:t>3.2.7. Інформування про культурне життя міста, зокрема анонси та перебіг культурних подій, що відбуваються за підтримки міської ради.</w:t>
      </w:r>
    </w:p>
    <w:p>
      <w:pPr>
        <w:pStyle w:val="Normal"/>
        <w:jc w:val="both"/>
        <w:rPr/>
      </w:pPr>
      <w:r>
        <w:rPr>
          <w:color w:val="000000"/>
          <w:sz w:val="28"/>
          <w:szCs w:val="28"/>
        </w:rPr>
        <w:t>3.2.8. Інформування про перебіг громадських слухань, круглих столів, семінарів, конференцій та інших публічних заходів, що організовуються міською радою чи здійснюються за її підтримки.</w:t>
      </w:r>
    </w:p>
    <w:p>
      <w:pPr>
        <w:pStyle w:val="Normal"/>
        <w:jc w:val="both"/>
        <w:rPr/>
      </w:pPr>
      <w:r>
        <w:rPr>
          <w:color w:val="000000"/>
          <w:sz w:val="28"/>
          <w:szCs w:val="28"/>
        </w:rPr>
        <w:t>3.2.9. Інформування про реалізацію соціально-культурних проектів, які здійснюються за сприянням міської ради.</w:t>
      </w:r>
    </w:p>
    <w:p>
      <w:pPr>
        <w:pStyle w:val="Normal"/>
        <w:jc w:val="both"/>
        <w:rPr/>
      </w:pPr>
      <w:r>
        <w:rPr>
          <w:color w:val="000000"/>
          <w:sz w:val="28"/>
          <w:szCs w:val="28"/>
        </w:rPr>
        <w:t>3.2.10. Інформування про здійснення важливих інфраструктурних проектів у місті та їх значення для повсякденного життя міста і кожного його мешканця.</w:t>
      </w:r>
    </w:p>
    <w:p>
      <w:pPr>
        <w:pStyle w:val="Normal"/>
        <w:jc w:val="both"/>
        <w:rPr/>
      </w:pPr>
      <w:r>
        <w:rPr>
          <w:color w:val="000000"/>
          <w:sz w:val="28"/>
          <w:szCs w:val="28"/>
        </w:rPr>
        <w:t>3.2.11. Щорічні плани і звіти про діяльність міського голови, міської ради, її виконавчих органів та посадових осіб.</w:t>
      </w:r>
    </w:p>
    <w:p>
      <w:pPr>
        <w:pStyle w:val="Normal"/>
        <w:jc w:val="both"/>
        <w:rPr/>
      </w:pPr>
      <w:r>
        <w:rPr>
          <w:color w:val="000000"/>
          <w:sz w:val="28"/>
          <w:szCs w:val="28"/>
        </w:rPr>
        <w:t>3.2.12. Інформування про офіційні візити депутатів та посадових осіб міської ради, участь у семінарах, конференціях, форумах, у тому числі за кордоном.</w:t>
      </w:r>
    </w:p>
    <w:p>
      <w:pPr>
        <w:pStyle w:val="Normal"/>
        <w:jc w:val="both"/>
        <w:rPr/>
      </w:pPr>
      <w:r>
        <w:rPr>
          <w:color w:val="000000"/>
          <w:sz w:val="28"/>
          <w:szCs w:val="28"/>
        </w:rPr>
        <w:t>3.2.13. Інформування про взаємовідносини органів місцевого самоврядування з іншими органами державної влади, важливі події загальнодержавного та місцевого значення, що мають відношення до проблем громади міста.</w:t>
      </w:r>
    </w:p>
    <w:p>
      <w:pPr>
        <w:pStyle w:val="Normal"/>
        <w:jc w:val="both"/>
        <w:rPr/>
      </w:pPr>
      <w:r>
        <w:rPr>
          <w:color w:val="000000"/>
          <w:sz w:val="28"/>
          <w:szCs w:val="28"/>
        </w:rPr>
        <w:t xml:space="preserve">       </w:t>
      </w:r>
      <w:r>
        <w:rPr>
          <w:color w:val="000000"/>
          <w:sz w:val="28"/>
          <w:szCs w:val="28"/>
        </w:rPr>
        <w:t xml:space="preserve">3.3. Інформація у рамках виконання Програми повинна подаватись державною мовою (крім інформації, що готується для висвітлення за межами України). </w:t>
      </w:r>
    </w:p>
    <w:p>
      <w:pPr>
        <w:pStyle w:val="Normal"/>
        <w:jc w:val="both"/>
        <w:rPr/>
      </w:pPr>
      <w:r>
        <w:rPr>
          <w:color w:val="000000"/>
          <w:sz w:val="28"/>
          <w:szCs w:val="28"/>
        </w:rPr>
        <w:t xml:space="preserve">       </w:t>
      </w:r>
      <w:r>
        <w:rPr>
          <w:color w:val="000000"/>
          <w:sz w:val="28"/>
          <w:szCs w:val="28"/>
        </w:rPr>
        <w:t>3.4. Висвітлення діяльності міської ради, її виконавчих органів, посадових осіб та депутатів здійснюється, як правило, у місцевих засобах масової інформації (телебачення, радіо, преса, Інтернет), забезпечуючи при цьому інформування найбільш широкого кола мешканців міста.</w:t>
      </w:r>
    </w:p>
    <w:p>
      <w:pPr>
        <w:pStyle w:val="Normal"/>
        <w:jc w:val="both"/>
        <w:rPr/>
      </w:pPr>
      <w:r>
        <w:rPr>
          <w:color w:val="000000"/>
          <w:sz w:val="28"/>
          <w:szCs w:val="28"/>
        </w:rPr>
        <w:t xml:space="preserve">       </w:t>
      </w:r>
      <w:r>
        <w:rPr>
          <w:color w:val="000000"/>
          <w:sz w:val="28"/>
          <w:szCs w:val="28"/>
        </w:rPr>
        <w:t>3.5. При висвітленні діяльності міської ради, її виконавчих органів, посадових осіб та депутатів забороняється подавати інформацію агітаційного чи пропагандистського характеру, зокрема матеріали, гасла за ту чи іншу політичну силу, у тому числі з переліку тих, що представлені у міській раді.</w:t>
      </w:r>
    </w:p>
    <w:p>
      <w:pPr>
        <w:pStyle w:val="Normal"/>
        <w:jc w:val="both"/>
        <w:rPr/>
      </w:pPr>
      <w:r>
        <w:rPr>
          <w:color w:val="000000"/>
          <w:sz w:val="28"/>
          <w:szCs w:val="28"/>
        </w:rPr>
        <w:t xml:space="preserve">       </w:t>
      </w:r>
      <w:r>
        <w:rPr>
          <w:color w:val="000000"/>
          <w:sz w:val="28"/>
          <w:szCs w:val="28"/>
        </w:rPr>
        <w:t xml:space="preserve">3.6. Інформація щодо висвітлення діяльності міської ради, її виконавчих органів, посадових осіб та депутатів подається уникаючи втручання в особисте життя громадян, посягання на їх честь і гідність. </w:t>
      </w:r>
    </w:p>
    <w:p>
      <w:pPr>
        <w:pStyle w:val="Normal"/>
        <w:jc w:val="center"/>
        <w:rPr/>
      </w:pPr>
      <w:r>
        <w:rPr>
          <w:b/>
          <w:bCs/>
          <w:color w:val="000000"/>
          <w:sz w:val="28"/>
          <w:szCs w:val="28"/>
        </w:rPr>
        <w:t>4. Механізм висвітлення діяльності міської ради, її виконавчих органів та посадових осіб у засобах масової інформації</w:t>
      </w:r>
    </w:p>
    <w:p>
      <w:pPr>
        <w:pStyle w:val="Normal"/>
        <w:jc w:val="center"/>
        <w:rPr/>
      </w:pPr>
      <w:r>
        <w:rPr/>
      </w:r>
    </w:p>
    <w:p>
      <w:pPr>
        <w:pStyle w:val="Normal"/>
        <w:jc w:val="both"/>
        <w:rPr/>
      </w:pPr>
      <w:r>
        <w:rPr>
          <w:color w:val="000000"/>
          <w:sz w:val="28"/>
          <w:szCs w:val="28"/>
        </w:rPr>
        <w:t>4.1. Програма розроблена і фінансується у межах коштів, передбачених у міському бюджеті міста Білгорода-Дністровського на 2017 рік.</w:t>
      </w:r>
    </w:p>
    <w:p>
      <w:pPr>
        <w:pStyle w:val="Normal"/>
        <w:jc w:val="both"/>
        <w:rPr/>
      </w:pPr>
      <w:r>
        <w:rPr>
          <w:color w:val="000000"/>
          <w:sz w:val="28"/>
          <w:szCs w:val="28"/>
        </w:rPr>
        <w:t>4.2. Реалізація завдань Програми покладається на відділ з питань внутрішньої політики та взаємодії з правоохоронними органами.</w:t>
      </w:r>
    </w:p>
    <w:p>
      <w:pPr>
        <w:pStyle w:val="Normal"/>
        <w:jc w:val="both"/>
        <w:rPr/>
      </w:pPr>
      <w:r>
        <w:rPr>
          <w:color w:val="000000"/>
          <w:sz w:val="28"/>
          <w:szCs w:val="28"/>
        </w:rPr>
        <w:t>4.3. Участь у виконанні заходів з висвітлення діяльності міської ради є відкритою для теле- і радіомовних організацій, друкованих засобів масової інформації, інформаційних агентств, інших засобів масової інформації та суб’єктів господарювання, що здійснюють діяльність у сфері висвітлення.</w:t>
      </w:r>
    </w:p>
    <w:p>
      <w:pPr>
        <w:pStyle w:val="Normal"/>
        <w:jc w:val="both"/>
        <w:rPr/>
      </w:pPr>
      <w:r>
        <w:rPr>
          <w:color w:val="000000"/>
          <w:sz w:val="28"/>
          <w:szCs w:val="28"/>
        </w:rPr>
        <w:t xml:space="preserve">4.3.1. Зацікавлені засоби масової інформації у 2-тижневий термін після опублікування оголошення про збір пропозицій від засобів масової інформації у рамках реалізації Програми можуть подавати свої пропозиції щодо реалізації заходів з висвітлення діяльності міської ради. </w:t>
      </w:r>
    </w:p>
    <w:p>
      <w:pPr>
        <w:pStyle w:val="Normal"/>
        <w:jc w:val="both"/>
        <w:rPr/>
      </w:pPr>
      <w:r>
        <w:rPr>
          <w:color w:val="000000"/>
          <w:sz w:val="28"/>
          <w:szCs w:val="28"/>
        </w:rPr>
        <w:t>4.3.2. Після збору пропозицій, розпорядженням міського голови затверджуються переліки виконавців заходів з висвітлення на 2017 рік.</w:t>
      </w:r>
    </w:p>
    <w:p>
      <w:pPr>
        <w:pStyle w:val="Normal"/>
        <w:jc w:val="both"/>
        <w:rPr/>
      </w:pPr>
      <w:r>
        <w:rPr>
          <w:color w:val="000000"/>
          <w:sz w:val="28"/>
          <w:szCs w:val="28"/>
        </w:rPr>
        <w:t>4.4. Висвітлення діяльності міської ради, її виконавчих органів, посадових осіб та депутатів відбувається через укладення договорів з засобами масової інформації на реалізацію заходів з висвітлення.</w:t>
      </w:r>
    </w:p>
    <w:p>
      <w:pPr>
        <w:pStyle w:val="Normal"/>
        <w:jc w:val="both"/>
        <w:rPr/>
      </w:pPr>
      <w:r>
        <w:rPr>
          <w:color w:val="000000"/>
          <w:sz w:val="28"/>
          <w:szCs w:val="28"/>
        </w:rPr>
        <w:t>4.5. У договорі на реалізацію заходу з висвітлення діяльності міської ради, її виконавчих органів, посадових осіб та депутатів вказуються:</w:t>
      </w:r>
    </w:p>
    <w:p>
      <w:pPr>
        <w:pStyle w:val="Normal"/>
        <w:jc w:val="both"/>
        <w:rPr/>
      </w:pPr>
      <w:r>
        <w:rPr>
          <w:color w:val="000000"/>
          <w:sz w:val="28"/>
          <w:szCs w:val="28"/>
        </w:rPr>
        <w:t>4.5.1. Сторони договору.</w:t>
      </w:r>
    </w:p>
    <w:p>
      <w:pPr>
        <w:pStyle w:val="Normal"/>
        <w:jc w:val="both"/>
        <w:rPr/>
      </w:pPr>
      <w:r>
        <w:rPr>
          <w:color w:val="000000"/>
          <w:sz w:val="28"/>
          <w:szCs w:val="28"/>
        </w:rPr>
        <w:t xml:space="preserve">4.5.2. Предмет договору. </w:t>
      </w:r>
    </w:p>
    <w:p>
      <w:pPr>
        <w:pStyle w:val="Normal"/>
        <w:jc w:val="both"/>
        <w:rPr/>
      </w:pPr>
      <w:r>
        <w:rPr>
          <w:color w:val="000000"/>
          <w:sz w:val="28"/>
          <w:szCs w:val="28"/>
        </w:rPr>
        <w:t>4.5.3. Обсяг, форми і методи висвітлення.</w:t>
      </w:r>
    </w:p>
    <w:p>
      <w:pPr>
        <w:pStyle w:val="Normal"/>
        <w:jc w:val="both"/>
        <w:rPr/>
      </w:pPr>
      <w:r>
        <w:rPr>
          <w:color w:val="000000"/>
          <w:sz w:val="28"/>
          <w:szCs w:val="28"/>
        </w:rPr>
        <w:t xml:space="preserve">4.5.4. Права та обов’язки сторін. </w:t>
      </w:r>
    </w:p>
    <w:p>
      <w:pPr>
        <w:pStyle w:val="Normal"/>
        <w:jc w:val="both"/>
        <w:rPr/>
      </w:pPr>
      <w:r>
        <w:rPr>
          <w:color w:val="000000"/>
          <w:sz w:val="28"/>
          <w:szCs w:val="28"/>
        </w:rPr>
        <w:t xml:space="preserve">4.5.5. Порядок розрахунків. </w:t>
      </w:r>
    </w:p>
    <w:p>
      <w:pPr>
        <w:pStyle w:val="Normal"/>
        <w:jc w:val="both"/>
        <w:rPr/>
      </w:pPr>
      <w:r>
        <w:rPr>
          <w:color w:val="000000"/>
          <w:sz w:val="28"/>
          <w:szCs w:val="28"/>
        </w:rPr>
        <w:t xml:space="preserve">4.5.6. Умови, що впливають на зміну або припинення договірних відносин, та відповідальність за невиконання або неналежне виконання умов договору. </w:t>
      </w:r>
    </w:p>
    <w:p>
      <w:pPr>
        <w:pStyle w:val="Normal"/>
        <w:jc w:val="both"/>
        <w:rPr/>
      </w:pPr>
      <w:r>
        <w:rPr>
          <w:color w:val="000000"/>
          <w:sz w:val="28"/>
          <w:szCs w:val="28"/>
        </w:rPr>
        <w:t>4.5.7. Інші суттєві умови, які випливають зі специфіки відносин щодо висвітлення діяльності міської ради, її виконавчих органів та посадових осіб, депутатів (порядок спростування інформації тощо).</w:t>
      </w:r>
    </w:p>
    <w:p>
      <w:pPr>
        <w:pStyle w:val="Normal"/>
        <w:jc w:val="both"/>
        <w:rPr/>
      </w:pPr>
      <w:r>
        <w:rPr>
          <w:color w:val="000000"/>
          <w:sz w:val="28"/>
          <w:szCs w:val="28"/>
        </w:rPr>
        <w:t xml:space="preserve">4.6. Фінансування Програми здійснюється через перерахування коштів на розрахункові рахунки засобів масової інформації, відкриті у банках, що створені і діють на території України відповідно до положень чинного законодавства України, за умови підписання актів про виконання заходів. </w:t>
      </w:r>
    </w:p>
    <w:p>
      <w:pPr>
        <w:pStyle w:val="Normal"/>
        <w:jc w:val="both"/>
        <w:rPr/>
      </w:pPr>
      <w:r>
        <w:rPr/>
      </w:r>
    </w:p>
    <w:p>
      <w:pPr>
        <w:pStyle w:val="Normal"/>
        <w:jc w:val="both"/>
        <w:rPr/>
      </w:pPr>
      <w:r>
        <w:rPr/>
      </w:r>
    </w:p>
    <w:p>
      <w:pPr>
        <w:pStyle w:val="Normal"/>
        <w:rPr/>
      </w:pPr>
      <w:r>
        <w:rPr/>
      </w:r>
    </w:p>
    <w:p>
      <w:pPr>
        <w:pStyle w:val="Normal"/>
        <w:jc w:val="center"/>
        <w:rPr/>
      </w:pPr>
      <w:r>
        <w:rPr>
          <w:sz w:val="28"/>
          <w:szCs w:val="28"/>
        </w:rPr>
        <w:t>5. Очікувані результати реалізації Програми</w:t>
      </w:r>
    </w:p>
    <w:p>
      <w:pPr>
        <w:pStyle w:val="Normal"/>
        <w:jc w:val="center"/>
        <w:rPr/>
      </w:pPr>
      <w:r>
        <w:rPr/>
      </w:r>
    </w:p>
    <w:p>
      <w:pPr>
        <w:pStyle w:val="Normal"/>
        <w:jc w:val="both"/>
        <w:rPr/>
      </w:pPr>
      <w:r>
        <w:rPr>
          <w:color w:val="2E2E2E"/>
          <w:sz w:val="28"/>
          <w:szCs w:val="28"/>
        </w:rPr>
        <w:t>У результаті впровадження Програми очікується:</w:t>
      </w:r>
    </w:p>
    <w:p>
      <w:pPr>
        <w:pStyle w:val="Normal"/>
        <w:ind w:left="0" w:right="0" w:firstLine="708"/>
        <w:jc w:val="both"/>
        <w:rPr/>
      </w:pPr>
      <w:r>
        <w:rPr>
          <w:color w:val="000000"/>
          <w:sz w:val="28"/>
          <w:szCs w:val="28"/>
        </w:rPr>
        <w:t>5.1. Налагодження ефективної системи інформування громади про роботу міської ради, її виконавчих органів та посадових осіб, депутатів.</w:t>
      </w:r>
    </w:p>
    <w:p>
      <w:pPr>
        <w:pStyle w:val="Normal"/>
        <w:ind w:left="0" w:right="0" w:firstLine="708"/>
        <w:jc w:val="both"/>
        <w:rPr/>
      </w:pPr>
      <w:r>
        <w:rPr>
          <w:color w:val="000000"/>
          <w:sz w:val="28"/>
          <w:szCs w:val="28"/>
        </w:rPr>
        <w:t>5.2. Запровадження постійного діалогу міської влади з громадою міста з метою залучення широких верств населення до обговорення та участі у вирішенні питань місцевого значення.</w:t>
      </w:r>
    </w:p>
    <w:p>
      <w:pPr>
        <w:pStyle w:val="Normal"/>
        <w:ind w:left="0" w:right="0" w:firstLine="708"/>
        <w:jc w:val="both"/>
        <w:rPr/>
      </w:pPr>
      <w:r>
        <w:rPr>
          <w:color w:val="000000"/>
          <w:sz w:val="28"/>
          <w:szCs w:val="28"/>
        </w:rPr>
        <w:t>5.3. Підвищення результативності виконання міською владою своїх завдань та збільшення відповідальності у її представників перед громадою міста.</w:t>
      </w:r>
    </w:p>
    <w:p>
      <w:pPr>
        <w:pStyle w:val="Normal"/>
        <w:ind w:left="0" w:right="0" w:firstLine="708"/>
        <w:jc w:val="both"/>
        <w:rPr/>
      </w:pPr>
      <w:r>
        <w:rPr>
          <w:color w:val="000000"/>
          <w:sz w:val="28"/>
          <w:szCs w:val="28"/>
        </w:rPr>
        <w:t>5.4. Створення об’єктивної суспільної думки стосовно органів місцевого самоврядування і підвищення рівня довіри громади до них на основі отримання повної та всебічної інформації про їх діяльність.</w:t>
      </w:r>
    </w:p>
    <w:p>
      <w:pPr>
        <w:pStyle w:val="Normal"/>
        <w:ind w:left="0" w:right="0" w:firstLine="708"/>
        <w:jc w:val="both"/>
        <w:rPr/>
      </w:pPr>
      <w:r>
        <w:rPr>
          <w:sz w:val="28"/>
          <w:szCs w:val="28"/>
        </w:rPr>
        <w:t>5.5.  Громадський контроль за виконанням Стратегічного плану соціально-економічного розвитку міста Білгорода-Дністровського на період до 2017 року, з урахуванням громадської думки;</w:t>
      </w:r>
    </w:p>
    <w:p>
      <w:pPr>
        <w:pStyle w:val="Normal"/>
        <w:ind w:left="0" w:right="0" w:firstLine="708"/>
        <w:jc w:val="both"/>
        <w:rPr/>
      </w:pPr>
      <w:r>
        <w:rPr>
          <w:sz w:val="28"/>
          <w:szCs w:val="28"/>
        </w:rPr>
        <w:t>5.6. Забезпечення участі членів територіальної громади в процесі обговорення та прийняття проектів регуляторних актів міської влади;</w:t>
      </w:r>
    </w:p>
    <w:p>
      <w:pPr>
        <w:pStyle w:val="Normal"/>
        <w:ind w:left="0" w:right="0" w:firstLine="708"/>
        <w:jc w:val="both"/>
        <w:rPr/>
      </w:pPr>
      <w:r>
        <w:rPr>
          <w:sz w:val="28"/>
          <w:szCs w:val="28"/>
        </w:rPr>
        <w:t>5.7. Забезпечення взаємодії громадян та органів місцевого самоврядування в реалізації зворотного зв'язку та більш оперативного реагування на звернення громадян;</w:t>
      </w:r>
    </w:p>
    <w:p>
      <w:pPr>
        <w:pStyle w:val="Normal"/>
        <w:ind w:left="0" w:right="0" w:firstLine="708"/>
        <w:jc w:val="both"/>
        <w:rPr/>
      </w:pPr>
      <w:r>
        <w:rPr>
          <w:sz w:val="28"/>
          <w:szCs w:val="28"/>
        </w:rPr>
        <w:t>5.8. Забезпечення індивідуальних інформаційних потреб населення міста з отримання необхідної інформації стосовно діяльності місцевих органів влади;</w:t>
      </w:r>
    </w:p>
    <w:p>
      <w:pPr>
        <w:pStyle w:val="Normal"/>
        <w:ind w:left="0" w:right="0" w:firstLine="708"/>
        <w:jc w:val="both"/>
        <w:rPr/>
      </w:pPr>
      <w:r>
        <w:rPr>
          <w:sz w:val="28"/>
          <w:szCs w:val="28"/>
        </w:rPr>
        <w:t>5.9. Створення іміджу Білгорода-Дністровського як інвестиційно привабливого культурного та туристичного міста.</w:t>
      </w:r>
    </w:p>
    <w:p>
      <w:pPr>
        <w:pStyle w:val="Normal"/>
        <w:jc w:val="both"/>
        <w:rPr/>
      </w:pPr>
      <w:r>
        <w:rPr/>
      </w:r>
    </w:p>
    <w:p>
      <w:pPr>
        <w:pStyle w:val="Normal"/>
        <w:jc w:val="center"/>
        <w:rPr/>
      </w:pPr>
      <w:r>
        <w:rPr>
          <w:b/>
          <w:bCs/>
          <w:color w:val="000000"/>
          <w:sz w:val="28"/>
          <w:szCs w:val="28"/>
        </w:rPr>
        <w:t>6. Прикінцеві положення</w:t>
      </w:r>
    </w:p>
    <w:p>
      <w:pPr>
        <w:pStyle w:val="Normal"/>
        <w:jc w:val="center"/>
        <w:rPr/>
      </w:pPr>
      <w:r>
        <w:rPr/>
      </w:r>
    </w:p>
    <w:p>
      <w:pPr>
        <w:pStyle w:val="Normal"/>
        <w:ind w:left="0" w:right="0" w:firstLine="708"/>
        <w:jc w:val="both"/>
        <w:rPr/>
      </w:pPr>
      <w:r>
        <w:rPr>
          <w:color w:val="000000"/>
          <w:sz w:val="28"/>
          <w:szCs w:val="28"/>
        </w:rPr>
        <w:t>6.1. Програма розроблена і фінансується у межах коштів, передбачених у міському бюджеті м. Білгород-Дністровський на 2017 рік.</w:t>
      </w:r>
    </w:p>
    <w:p>
      <w:pPr>
        <w:pStyle w:val="Normal"/>
        <w:ind w:left="0" w:right="0" w:firstLine="708"/>
        <w:jc w:val="both"/>
        <w:rPr/>
      </w:pPr>
      <w:r>
        <w:rPr>
          <w:color w:val="000000"/>
          <w:sz w:val="28"/>
          <w:szCs w:val="28"/>
        </w:rPr>
        <w:t xml:space="preserve">6.2. Контроль за виконанням Програми здійснюють міський голова та постійні депутатські комісії </w:t>
      </w:r>
      <w:r>
        <w:rPr>
          <w:color w:val="000000"/>
          <w:sz w:val="28"/>
          <w:szCs w:val="28"/>
          <w:shd w:fill="FFFFFF" w:val="clear"/>
        </w:rPr>
        <w:t>з питань законності, регламенту, депутатської діяльності, захисту прав громадян та з питань бюджету, фінансів, соціально-економічної політики, інвестицій та ринкових відносин</w:t>
      </w:r>
    </w:p>
    <w:p>
      <w:pPr>
        <w:pStyle w:val="Normal"/>
        <w:jc w:val="both"/>
        <w:rPr/>
      </w:pPr>
      <w:r>
        <w:rPr>
          <w:color w:val="000000"/>
          <w:sz w:val="28"/>
          <w:szCs w:val="28"/>
        </w:rPr>
        <w:t xml:space="preserve">           </w:t>
      </w:r>
      <w:r>
        <w:rPr>
          <w:color w:val="000000"/>
          <w:sz w:val="28"/>
          <w:szCs w:val="28"/>
        </w:rPr>
        <w:t>6.3. Інформація про прийняття Програми та хід її виконання публікується на сайті Білгород-Дністровської міської ради www.bilgorod-d.org.ua</w:t>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center"/>
        <w:rPr/>
      </w:pPr>
      <w:r>
        <w:rPr/>
      </w:r>
    </w:p>
    <w:p>
      <w:pPr>
        <w:pStyle w:val="Normal"/>
        <w:jc w:val="right"/>
        <w:rPr/>
      </w:pPr>
      <w:r>
        <w:rPr/>
      </w:r>
    </w:p>
    <w:p>
      <w:pPr>
        <w:pStyle w:val="Normal"/>
        <w:jc w:val="right"/>
        <w:rPr/>
      </w:pPr>
      <w:r>
        <w:rPr>
          <w:color w:val="2E2E2E"/>
          <w:sz w:val="28"/>
          <w:szCs w:val="28"/>
        </w:rPr>
        <w:t>Додаток № 1 до Програми</w:t>
      </w:r>
    </w:p>
    <w:p>
      <w:pPr>
        <w:pStyle w:val="Normal"/>
        <w:jc w:val="right"/>
        <w:rPr/>
      </w:pPr>
      <w:r>
        <w:rPr/>
      </w:r>
    </w:p>
    <w:p>
      <w:pPr>
        <w:pStyle w:val="Normal"/>
        <w:jc w:val="right"/>
        <w:rPr/>
      </w:pPr>
      <w:r>
        <w:rPr/>
      </w:r>
    </w:p>
    <w:p>
      <w:pPr>
        <w:pStyle w:val="Normal"/>
        <w:jc w:val="center"/>
        <w:rPr/>
      </w:pPr>
      <w:r>
        <w:rPr>
          <w:color w:val="000000"/>
          <w:sz w:val="28"/>
          <w:szCs w:val="28"/>
        </w:rPr>
        <w:t>Перелік заходів з висвітлення діяльності міської ради, її</w:t>
      </w:r>
    </w:p>
    <w:p>
      <w:pPr>
        <w:pStyle w:val="Normal"/>
        <w:jc w:val="center"/>
        <w:rPr/>
      </w:pPr>
      <w:r>
        <w:rPr>
          <w:color w:val="000000"/>
          <w:sz w:val="28"/>
          <w:szCs w:val="28"/>
        </w:rPr>
        <w:t>виконавчих органів та посадових осіб у 2017 році</w:t>
      </w:r>
    </w:p>
    <w:p>
      <w:pPr>
        <w:pStyle w:val="Normal"/>
        <w:rPr/>
      </w:pPr>
      <w:r>
        <w:rPr/>
      </w:r>
    </w:p>
    <w:tbl>
      <w:tblPr>
        <w:tblW w:w="9387" w:type="dxa"/>
        <w:jc w:val="left"/>
        <w:tblInd w:w="-216" w:type="dxa"/>
        <w:tblBorders>
          <w:top w:val="single" w:sz="4" w:space="0" w:color="000001"/>
          <w:left w:val="single" w:sz="4" w:space="0" w:color="000001"/>
          <w:bottom w:val="single" w:sz="4" w:space="0" w:color="000001"/>
          <w:insideH w:val="single" w:sz="4" w:space="0" w:color="000001"/>
        </w:tblBorders>
        <w:tblCellMar>
          <w:top w:w="0" w:type="dxa"/>
          <w:left w:w="73" w:type="dxa"/>
          <w:bottom w:w="0" w:type="dxa"/>
          <w:right w:w="108" w:type="dxa"/>
        </w:tblCellMar>
      </w:tblPr>
      <w:tblGrid>
        <w:gridCol w:w="2346"/>
        <w:gridCol w:w="2347"/>
        <w:gridCol w:w="2346"/>
        <w:gridCol w:w="2347"/>
      </w:tblGrid>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ind w:left="0" w:right="1096" w:hanging="0"/>
              <w:rPr/>
            </w:pPr>
            <w:r>
              <w:rPr>
                <w:color w:val="2E2E2E"/>
                <w:sz w:val="28"/>
                <w:szCs w:val="28"/>
              </w:rPr>
              <w:t>№</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000000"/>
                <w:sz w:val="28"/>
                <w:szCs w:val="28"/>
              </w:rPr>
              <w:t>Зміст заходу</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Відповідальний</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Термін проведення</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1</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both"/>
              <w:rPr/>
            </w:pPr>
            <w:r>
              <w:rPr>
                <w:color w:val="000000"/>
                <w:sz w:val="28"/>
                <w:szCs w:val="28"/>
              </w:rPr>
              <w:t>Фінансування заходів щодо висвітлення діяльності  Білгород-Дністровської міської ради та її виконавчих органів відповідно до Закону України «Про порядок висвітлення діяльності органів державної влади та органів місцевого самоврядування в Україні» електронними та друкованими засобами масової інформації.</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Фінансове управління міської ради</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 xml:space="preserve">Протягом  2017 року </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sz w:val="28"/>
                <w:szCs w:val="28"/>
              </w:rPr>
              <w:t>2</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ind w:left="34" w:right="-63" w:hanging="0"/>
              <w:jc w:val="both"/>
              <w:rPr/>
            </w:pPr>
            <w:r>
              <w:rPr>
                <w:color w:val="000000"/>
                <w:sz w:val="28"/>
                <w:szCs w:val="28"/>
              </w:rPr>
              <w:t xml:space="preserve">Фінансування телерадіокомпанії «Новини Придністров’я» як ЗМІ, співзасновником якого є Білгород-Дністровська міська рада, для продовження формування основних фондів та необоротних матеріальних активів, оплату послуг зв’язку та сплату зборів державних установ на виконання умов ліцензії та Статуту. </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 xml:space="preserve">Фінансове управління міської ради </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 xml:space="preserve">Протягом 2017 року </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3</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ind w:left="34" w:right="0" w:hanging="0"/>
              <w:jc w:val="both"/>
              <w:rPr/>
            </w:pPr>
            <w:r>
              <w:rPr>
                <w:color w:val="000000"/>
                <w:sz w:val="28"/>
                <w:szCs w:val="28"/>
              </w:rPr>
              <w:t>Виготовлення та розміщення міської соціальної реклами на сучасних носіях зовнішньої реклами (друк і монтування постерів на носіях зовнішньої реклами, зйомка і монтаж аудіо, відео роликів, відеофільмів).</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Відділ з питань внутрішньої політики та взаємодії з правоохоронними органами</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 xml:space="preserve">Протягом 2017 року  </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4</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ind w:left="34" w:right="0" w:hanging="0"/>
              <w:rPr/>
            </w:pPr>
            <w:r>
              <w:rPr>
                <w:color w:val="000000"/>
                <w:sz w:val="28"/>
                <w:szCs w:val="28"/>
              </w:rPr>
              <w:t>Залучення громадян до обговорення інвестиційних проектів та проектів регуляторних актів міської влади шляхом розміщення їх в мережі Інтернет на офіційному веб-порталі міста Білгорода-Дністровського (</w:t>
            </w:r>
            <w:hyperlink r:id="rId11">
              <w:r>
                <w:rPr>
                  <w:rStyle w:val="Style13"/>
                  <w:color w:val="000000"/>
                  <w:sz w:val="28"/>
                  <w:szCs w:val="28"/>
                </w:rPr>
                <w:t>www</w:t>
              </w:r>
            </w:hyperlink>
            <w:hyperlink r:id="rId12">
              <w:r>
                <w:rPr>
                  <w:rStyle w:val="Style13"/>
                  <w:color w:val="000000"/>
                  <w:sz w:val="28"/>
                  <w:szCs w:val="28"/>
                </w:rPr>
                <w:t>.</w:t>
              </w:r>
            </w:hyperlink>
            <w:hyperlink r:id="rId13">
              <w:r>
                <w:rPr>
                  <w:rStyle w:val="Style13"/>
                  <w:color w:val="000000"/>
                  <w:sz w:val="28"/>
                  <w:szCs w:val="28"/>
                </w:rPr>
                <w:t>bilgorod</w:t>
              </w:r>
            </w:hyperlink>
            <w:hyperlink r:id="rId14">
              <w:r>
                <w:rPr>
                  <w:rStyle w:val="Style13"/>
                  <w:color w:val="000000"/>
                  <w:sz w:val="28"/>
                  <w:szCs w:val="28"/>
                </w:rPr>
                <w:t>-</w:t>
              </w:r>
            </w:hyperlink>
            <w:hyperlink r:id="rId15">
              <w:r>
                <w:rPr>
                  <w:rStyle w:val="Style13"/>
                  <w:color w:val="000000"/>
                  <w:sz w:val="28"/>
                  <w:szCs w:val="28"/>
                </w:rPr>
                <w:t>d</w:t>
              </w:r>
            </w:hyperlink>
            <w:hyperlink r:id="rId16">
              <w:r>
                <w:rPr>
                  <w:rStyle w:val="Style13"/>
                  <w:color w:val="000000"/>
                  <w:sz w:val="28"/>
                  <w:szCs w:val="28"/>
                </w:rPr>
                <w:t>.</w:t>
              </w:r>
            </w:hyperlink>
            <w:hyperlink r:id="rId17">
              <w:r>
                <w:rPr>
                  <w:rStyle w:val="Style13"/>
                  <w:color w:val="000000"/>
                  <w:sz w:val="28"/>
                  <w:szCs w:val="28"/>
                </w:rPr>
                <w:t>org</w:t>
              </w:r>
            </w:hyperlink>
            <w:hyperlink r:id="rId18">
              <w:r>
                <w:rPr>
                  <w:rStyle w:val="Style13"/>
                  <w:color w:val="000000"/>
                  <w:sz w:val="28"/>
                  <w:szCs w:val="28"/>
                </w:rPr>
                <w:t>.</w:t>
              </w:r>
            </w:hyperlink>
            <w:hyperlink r:id="rId19">
              <w:r>
                <w:rPr>
                  <w:rStyle w:val="Style13"/>
                  <w:color w:val="000000"/>
                  <w:sz w:val="28"/>
                  <w:szCs w:val="28"/>
                </w:rPr>
                <w:t>ua</w:t>
              </w:r>
            </w:hyperlink>
            <w:r>
              <w:rPr>
                <w:color w:val="000000"/>
                <w:sz w:val="28"/>
                <w:szCs w:val="28"/>
              </w:rPr>
              <w:t>).</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Відділ з питань внутрішньої політики та взаємодії з правоохоронними органами</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 xml:space="preserve"> </w:t>
            </w:r>
            <w:r>
              <w:rPr>
                <w:color w:val="000000"/>
                <w:sz w:val="28"/>
                <w:szCs w:val="28"/>
              </w:rPr>
              <w:t>Постійно</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5</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Заходи щодо висвітлення звітів постійних комісій, фракцій, депутатських груп, депутатів міської ради в ЗМІ</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Відділ з питань внутрішньої політики та взаємодії з правоохоронними органами</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 xml:space="preserve">Протягом 2017 року </w:t>
            </w:r>
          </w:p>
          <w:p>
            <w:pPr>
              <w:pStyle w:val="Normal"/>
              <w:rPr/>
            </w:pPr>
            <w:r>
              <w:rPr>
                <w:color w:val="000000"/>
                <w:sz w:val="28"/>
                <w:szCs w:val="28"/>
              </w:rPr>
              <w:t xml:space="preserve">за окремим планом </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6</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vAlign w:val="center"/>
          </w:tcPr>
          <w:p>
            <w:pPr>
              <w:pStyle w:val="Normal"/>
              <w:rPr/>
            </w:pPr>
            <w:r>
              <w:rPr>
                <w:color w:val="000000"/>
                <w:sz w:val="28"/>
                <w:szCs w:val="28"/>
              </w:rPr>
              <w:t>Проведення інформаційних заходів для ЗМІ (прес-конференції, брифінги, круглі столи, виїзні засідання, прямі ефіри)</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Відділ з питань внутрішньої політики та взаємодії з правоохоронними органами</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 xml:space="preserve">За окремим планом </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7</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Підтримка, модернізація, оновлення бренду, розміщення інформації та техобслуговування офіційного порталу міста Білгорода-Дністровського, розробка додаткових розділів, веб-сторінок, тематичних веб-сайтів, офіційного порталу міста.</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Відділ з питань внутрішньої політики та взаємодії з правоохоронними органами</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color w:val="000000"/>
                <w:sz w:val="28"/>
                <w:szCs w:val="28"/>
              </w:rPr>
              <w:t>Постійно</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8</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Виготовлення поліграфічної продукції інформаційно-просвітницького та іміджевого характеру (листівки, брошури, буклети, інформаціні листи.)</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 xml:space="preserve">Відділ з питань внутрішньої політики та взаємодії з правоохоронними органами </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color w:val="000000"/>
                <w:sz w:val="28"/>
                <w:szCs w:val="28"/>
              </w:rPr>
              <w:t>Постійно</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9</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vAlign w:val="center"/>
          </w:tcPr>
          <w:p>
            <w:pPr>
              <w:pStyle w:val="Normal"/>
              <w:rPr/>
            </w:pPr>
            <w:r>
              <w:rPr>
                <w:color w:val="000000"/>
                <w:sz w:val="28"/>
                <w:szCs w:val="28"/>
              </w:rPr>
              <w:t xml:space="preserve">Організація спільно зі ЗМІ та громадськими організаціями міста Білгорода-Дністровського навчань та тренінгів для працівників виконавчого комітету з питань співпраці зі ЗМІ, особливостей законодавства в сфері інформації, підготовки різних типів матеріалів для ЗМІ </w:t>
            </w:r>
          </w:p>
          <w:p>
            <w:pPr>
              <w:pStyle w:val="Normal"/>
              <w:rPr/>
            </w:pPr>
            <w:r>
              <w:rPr/>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 xml:space="preserve">Відділ з питань внутрішньої політики та взаємодії з правоохоронними органами </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За потреби на протязі 2017 року</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10</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vAlign w:val="center"/>
          </w:tcPr>
          <w:p>
            <w:pPr>
              <w:pStyle w:val="Normal"/>
              <w:rPr/>
            </w:pPr>
            <w:r>
              <w:rPr>
                <w:color w:val="000000"/>
                <w:sz w:val="28"/>
                <w:szCs w:val="28"/>
              </w:rPr>
              <w:t>Створення телевізійних та радіопрограм з метою висвітлення актуальних для міського господарства питань, а також з метою висвітлення роботи Білгород-Дністровської міської ради, її виконавчих органів</w:t>
            </w:r>
          </w:p>
          <w:p>
            <w:pPr>
              <w:pStyle w:val="Normal"/>
              <w:rPr/>
            </w:pPr>
            <w:r>
              <w:rPr/>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 xml:space="preserve">Відділ з питань внутрішньої політики та взаємодії з правоохоронними органами, спільно з ТРК міста </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Протягом 2017 року</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11</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vAlign w:val="center"/>
          </w:tcPr>
          <w:p>
            <w:pPr>
              <w:pStyle w:val="Normal"/>
              <w:rPr/>
            </w:pPr>
            <w:r>
              <w:rPr>
                <w:color w:val="000000"/>
                <w:sz w:val="28"/>
                <w:szCs w:val="28"/>
              </w:rPr>
              <w:t>Забезпечення он-лайн трансляції пленарних засідань сесій міської ради, засідань виконавчого комітету та інших значущих заходів на сайті міської ради та інших інформаційних інтернет-ресурсах.</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 xml:space="preserve">Відділ з питань внутрішньої політики та взаємодії з правоохоронними органами </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Протягом 2017 року</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12</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vAlign w:val="center"/>
          </w:tcPr>
          <w:p>
            <w:pPr>
              <w:pStyle w:val="Normal"/>
              <w:rPr/>
            </w:pPr>
            <w:r>
              <w:rPr>
                <w:color w:val="000000"/>
                <w:sz w:val="28"/>
                <w:szCs w:val="28"/>
              </w:rPr>
              <w:t xml:space="preserve">Розробка і вдосконалення веб-сайту міської ради.  Впровадження можливості трансляції на сайті відео та аудіо файлів, розробка системи інтерактивного спілкування депутатів та посадовців із мешканцями міста, забезпечення участі громадян в обговоренні проектів нормативних актів, забезпечення електронних звернень громадян. </w:t>
            </w:r>
          </w:p>
          <w:p>
            <w:pPr>
              <w:pStyle w:val="Normal"/>
              <w:rPr/>
            </w:pPr>
            <w:r>
              <w:rPr>
                <w:color w:val="000000"/>
                <w:sz w:val="28"/>
                <w:szCs w:val="28"/>
              </w:rPr>
              <w:t>(закупівля комп’ютерної техніки, замовлення послуг із веб-дизайну).</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 xml:space="preserve">Відділ з питань внутрішньої політики та взаємодії з правоохоронними органами </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Протягом 2017 року</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13</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vAlign w:val="center"/>
          </w:tcPr>
          <w:p>
            <w:pPr>
              <w:pStyle w:val="Normal"/>
              <w:rPr/>
            </w:pPr>
            <w:r>
              <w:rPr>
                <w:color w:val="000000"/>
                <w:sz w:val="28"/>
                <w:szCs w:val="28"/>
              </w:rPr>
              <w:t>Організація творчого конкурсу серед представників ЗМІ міста Білгорода-Дністровського на кращий сюжет, публікацію на соціально важливу для міста тематику. Святкування професійного свята «Дня журналіста». (виготовлення, закупівля сувенірної продукції, встановлення грошової премії, організація святкування).</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 xml:space="preserve">Відділ з питань внутрішньої політики та взаємодії з правоохоронними органами </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Червень 2017 року</w:t>
            </w:r>
          </w:p>
        </w:tc>
      </w:tr>
      <w:tr>
        <w:trPr/>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8"/>
                <w:szCs w:val="28"/>
              </w:rPr>
              <w:t>14</w:t>
            </w:r>
          </w:p>
        </w:tc>
        <w:tc>
          <w:tcPr>
            <w:tcW w:w="2347" w:type="dxa"/>
            <w:tcBorders>
              <w:top w:val="single" w:sz="4" w:space="0" w:color="000001"/>
              <w:left w:val="single" w:sz="4" w:space="0" w:color="000001"/>
              <w:bottom w:val="single" w:sz="4" w:space="0" w:color="000001"/>
              <w:insideH w:val="single" w:sz="4" w:space="0" w:color="000001"/>
            </w:tcBorders>
            <w:shd w:fill="FFFFFF" w:val="clear"/>
            <w:tcMar>
              <w:left w:w="73" w:type="dxa"/>
            </w:tcMar>
            <w:vAlign w:val="center"/>
          </w:tcPr>
          <w:p>
            <w:pPr>
              <w:pStyle w:val="Normal"/>
              <w:rPr/>
            </w:pPr>
            <w:r>
              <w:rPr>
                <w:color w:val="000000"/>
                <w:sz w:val="28"/>
                <w:szCs w:val="28"/>
              </w:rPr>
              <w:t>Забезпечення безперебійної роботи інформаційно-аналітичного центру відділу з питань внутрішньої політики та взаємодії з правоохоронними органами міської ради</w:t>
            </w:r>
          </w:p>
          <w:p>
            <w:pPr>
              <w:pStyle w:val="Normal"/>
              <w:rPr/>
            </w:pPr>
            <w:r>
              <w:rPr>
                <w:color w:val="000000"/>
                <w:sz w:val="28"/>
                <w:szCs w:val="28"/>
              </w:rPr>
              <w:t>(закупівля відповідної апаратури: фотоапарат,  веб-камери, МФУ,</w:t>
            </w:r>
          </w:p>
          <w:p>
            <w:pPr>
              <w:pStyle w:val="Normal"/>
              <w:rPr/>
            </w:pPr>
            <w:r>
              <w:rPr>
                <w:color w:val="000000"/>
                <w:sz w:val="28"/>
                <w:szCs w:val="28"/>
              </w:rPr>
              <w:t xml:space="preserve">APC Back-UPS, блок живлення, </w:t>
            </w:r>
          </w:p>
          <w:p>
            <w:pPr>
              <w:pStyle w:val="Normal"/>
              <w:rPr/>
            </w:pPr>
            <w:r>
              <w:rPr>
                <w:color w:val="000000"/>
                <w:sz w:val="28"/>
                <w:szCs w:val="28"/>
              </w:rPr>
              <w:t>пам’ять RAM 8Gb, ноутбук).</w:t>
            </w:r>
          </w:p>
        </w:tc>
        <w:tc>
          <w:tcPr>
            <w:tcW w:w="2346"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sz w:val="28"/>
                <w:szCs w:val="28"/>
              </w:rPr>
              <w:t xml:space="preserve">Відділ з питань внутрішньої політики та взаємодії з правоохоронними органами </w:t>
            </w:r>
          </w:p>
        </w:tc>
        <w:tc>
          <w:tcPr>
            <w:tcW w:w="234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color w:val="000000"/>
                <w:sz w:val="28"/>
                <w:szCs w:val="28"/>
              </w:rPr>
              <w:t>3 квартал 2017 року</w:t>
            </w:r>
          </w:p>
        </w:tc>
      </w:tr>
    </w:tbl>
    <w:p>
      <w:pPr>
        <w:pStyle w:val="Normal"/>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
    </w:p>
    <w:p>
      <w:pPr>
        <w:pStyle w:val="Normal"/>
        <w:jc w:val="center"/>
        <w:rPr/>
      </w:pPr>
      <w:r>
        <w:rPr>
          <w:rFonts w:cs="Arial" w:ascii="Arial" w:hAnsi="Arial"/>
        </w:rPr>
        <w:t xml:space="preserve"> </w:t>
      </w:r>
    </w:p>
    <w:p>
      <w:pPr>
        <w:pStyle w:val="Normal"/>
        <w:jc w:val="right"/>
        <w:rPr/>
      </w:pPr>
      <w:r>
        <w:rPr>
          <w:color w:val="2E2E2E"/>
          <w:sz w:val="28"/>
          <w:szCs w:val="28"/>
        </w:rPr>
        <w:t>Додаток № 2 до Програми</w:t>
      </w:r>
    </w:p>
    <w:p>
      <w:pPr>
        <w:pStyle w:val="Normal"/>
        <w:jc w:val="center"/>
        <w:rPr/>
      </w:pPr>
      <w:r>
        <w:rPr/>
      </w:r>
    </w:p>
    <w:p>
      <w:pPr>
        <w:pStyle w:val="Normal"/>
        <w:jc w:val="center"/>
        <w:rPr/>
      </w:pPr>
      <w:r>
        <w:rPr>
          <w:sz w:val="28"/>
          <w:szCs w:val="28"/>
        </w:rPr>
        <w:t>Витрати на реалізацію Програми </w:t>
      </w:r>
    </w:p>
    <w:p>
      <w:pPr>
        <w:pStyle w:val="Normal"/>
        <w:jc w:val="center"/>
        <w:rPr/>
      </w:pPr>
      <w:r>
        <w:rPr/>
      </w:r>
    </w:p>
    <w:tbl>
      <w:tblPr>
        <w:tblW w:w="9331" w:type="dxa"/>
        <w:jc w:val="left"/>
        <w:tblInd w:w="-158" w:type="dxa"/>
        <w:tblBorders>
          <w:top w:val="single" w:sz="4" w:space="0" w:color="000001"/>
          <w:left w:val="single" w:sz="4" w:space="0" w:color="000001"/>
          <w:bottom w:val="single" w:sz="4" w:space="0" w:color="000001"/>
          <w:insideH w:val="single" w:sz="4" w:space="0" w:color="000001"/>
        </w:tblBorders>
        <w:tblCellMar>
          <w:top w:w="0" w:type="dxa"/>
          <w:left w:w="73" w:type="dxa"/>
          <w:bottom w:w="0" w:type="dxa"/>
          <w:right w:w="108" w:type="dxa"/>
        </w:tblCellMar>
      </w:tblPr>
      <w:tblGrid>
        <w:gridCol w:w="754"/>
        <w:gridCol w:w="4057"/>
        <w:gridCol w:w="1337"/>
        <w:gridCol w:w="1755"/>
        <w:gridCol w:w="1428"/>
      </w:tblGrid>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2E2E2E"/>
                <w:sz w:val="20"/>
                <w:szCs w:val="20"/>
              </w:rPr>
              <w:t>№</w:t>
            </w:r>
          </w:p>
          <w:p>
            <w:pPr>
              <w:pStyle w:val="Normal"/>
              <w:rPr/>
            </w:pPr>
            <w:r>
              <w:rPr>
                <w:color w:val="2E2E2E"/>
                <w:sz w:val="20"/>
                <w:szCs w:val="20"/>
              </w:rPr>
              <w:t>з/п</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sz w:val="20"/>
                <w:szCs w:val="20"/>
              </w:rPr>
              <w:t>Зміст заходу</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sz w:val="20"/>
                <w:szCs w:val="20"/>
              </w:rPr>
              <w:t xml:space="preserve">Витрати </w:t>
            </w:r>
          </w:p>
          <w:p>
            <w:pPr>
              <w:pStyle w:val="Normal"/>
              <w:jc w:val="center"/>
              <w:rPr/>
            </w:pPr>
            <w:r>
              <w:rPr>
                <w:color w:val="2E2E2E"/>
                <w:sz w:val="20"/>
                <w:szCs w:val="20"/>
              </w:rPr>
              <w:t>2017</w:t>
            </w:r>
          </w:p>
          <w:p>
            <w:pPr>
              <w:pStyle w:val="Normal"/>
              <w:jc w:val="center"/>
              <w:rPr/>
            </w:pPr>
            <w:r>
              <w:rPr>
                <w:color w:val="2E2E2E"/>
                <w:sz w:val="20"/>
                <w:szCs w:val="20"/>
              </w:rPr>
              <w:t>(тис. грн.)</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sz w:val="20"/>
                <w:szCs w:val="20"/>
              </w:rPr>
              <w:t>Джерело покриття витрат на</w:t>
            </w:r>
          </w:p>
          <w:p>
            <w:pPr>
              <w:pStyle w:val="Normal"/>
              <w:jc w:val="center"/>
              <w:rPr/>
            </w:pPr>
            <w:r>
              <w:rPr>
                <w:color w:val="2E2E2E"/>
                <w:sz w:val="20"/>
                <w:szCs w:val="20"/>
              </w:rPr>
              <w:t xml:space="preserve">фінансування </w:t>
            </w:r>
          </w:p>
          <w:p>
            <w:pPr>
              <w:pStyle w:val="Normal"/>
              <w:jc w:val="center"/>
              <w:rPr/>
            </w:pPr>
            <w:r>
              <w:rPr>
                <w:color w:val="2E2E2E"/>
                <w:sz w:val="20"/>
                <w:szCs w:val="20"/>
              </w:rPr>
              <w:t>програми</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color w:val="2E2E2E"/>
                <w:sz w:val="20"/>
                <w:szCs w:val="20"/>
              </w:rPr>
              <w:t xml:space="preserve">Всього </w:t>
            </w:r>
          </w:p>
        </w:tc>
      </w:tr>
      <w:tr>
        <w:trPr/>
        <w:tc>
          <w:tcPr>
            <w:tcW w:w="9331"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1. Підтримка комунальних засобів масової інформації та висвітлення діяльності міського голови, Білгород-Дністровської міської ради, її виконавчих органів засобами масової інформації міста</w:t>
            </w:r>
          </w:p>
        </w:tc>
      </w:tr>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1.1</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both"/>
              <w:rPr/>
            </w:pPr>
            <w:r>
              <w:rPr/>
              <w:t>Передбачення коштів на висвітлення діяльності  Білгород-Дністровського міського голови, виконавчих органів міської ради, оприлюднення нормативних актів виконавчого комітету та розпоряджень міського голови, регуляторних актів, відповідно до Закону України «Про порядок висвітлення діяльності органів державної влади та органів місцевого самоврядування в Україні засобами масової інформації»  засобами періодичних друкованих видань</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70,0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 xml:space="preserve">Міський </w:t>
            </w:r>
          </w:p>
          <w:p>
            <w:pPr>
              <w:pStyle w:val="Normal"/>
              <w:jc w:val="center"/>
              <w:rPr/>
            </w:pPr>
            <w:r>
              <w:rPr>
                <w:color w:val="2E2E2E"/>
              </w:rPr>
              <w:t xml:space="preserve">бюджет </w:t>
            </w:r>
          </w:p>
          <w:p>
            <w:pPr>
              <w:pStyle w:val="Normal"/>
              <w:jc w:val="center"/>
              <w:rPr/>
            </w:pPr>
            <w:r>
              <w:rPr>
                <w:color w:val="2E2E2E"/>
              </w:rPr>
              <w:t>2017</w:t>
            </w:r>
          </w:p>
          <w:p>
            <w:pPr>
              <w:pStyle w:val="Normal"/>
              <w:jc w:val="center"/>
              <w:rPr/>
            </w:pPr>
            <w:r>
              <w:rPr>
                <w:color w:val="2E2E2E"/>
              </w:rPr>
              <w:t>Року</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rPr/>
            </w:pPr>
            <w:r>
              <w:rPr/>
              <w:t xml:space="preserve">    </w:t>
            </w:r>
            <w:r>
              <w:rPr>
                <w:b/>
              </w:rPr>
              <w:t>70,0</w:t>
            </w:r>
          </w:p>
        </w:tc>
      </w:tr>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1.2</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ind w:left="-108" w:right="-63" w:hanging="0"/>
              <w:jc w:val="both"/>
              <w:rPr/>
            </w:pPr>
            <w:r>
              <w:rPr/>
              <w:t>Передбачення коштів на висвітлення діяльності  Білгород-Дністровського міського голови, виконавчих органів міської ради, оприлюднення нормативних актів виконавчого комітету та розпоряджень міського голови, регуляторних актів, відповідно до Закону України «Про порядок висвітлення діяльності органів державної влади та органів місцевого самоврядування в Україні засобами масової інформації»  засобами радіомовлення</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30,0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 xml:space="preserve">Міський </w:t>
            </w:r>
          </w:p>
          <w:p>
            <w:pPr>
              <w:pStyle w:val="Normal"/>
              <w:jc w:val="center"/>
              <w:rPr/>
            </w:pPr>
            <w:r>
              <w:rPr>
                <w:color w:val="2E2E2E"/>
              </w:rPr>
              <w:t xml:space="preserve">бюджет </w:t>
            </w:r>
          </w:p>
          <w:p>
            <w:pPr>
              <w:pStyle w:val="Normal"/>
              <w:jc w:val="center"/>
              <w:rPr/>
            </w:pPr>
            <w:r>
              <w:rPr>
                <w:color w:val="2E2E2E"/>
              </w:rPr>
              <w:t>2017</w:t>
            </w:r>
          </w:p>
          <w:p>
            <w:pPr>
              <w:pStyle w:val="Normal"/>
              <w:jc w:val="center"/>
              <w:rPr/>
            </w:pPr>
            <w:r>
              <w:rPr>
                <w:color w:val="2E2E2E"/>
              </w:rPr>
              <w:t>Року</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30,0</w:t>
            </w:r>
          </w:p>
        </w:tc>
      </w:tr>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1.2</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ind w:left="-108" w:right="-63" w:hanging="0"/>
              <w:jc w:val="both"/>
              <w:rPr/>
            </w:pPr>
            <w:r>
              <w:rPr/>
              <w:t xml:space="preserve">Передбачення коштів для телерадіокомпанії «Новини Придністров’я» як засіб масової інформації, співзасновником якого є Білгород-Дністровська міська рада, для продовження формування основних фондів та необоротних матеріальних активів, оплату послуг зв’язку та сплату зборів державних установ на виконання умов ліцензії та Статуту. </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159,0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 xml:space="preserve">Міський </w:t>
            </w:r>
          </w:p>
          <w:p>
            <w:pPr>
              <w:pStyle w:val="Normal"/>
              <w:jc w:val="center"/>
              <w:rPr/>
            </w:pPr>
            <w:r>
              <w:rPr>
                <w:color w:val="2E2E2E"/>
              </w:rPr>
              <w:t xml:space="preserve">бюджет </w:t>
            </w:r>
          </w:p>
          <w:p>
            <w:pPr>
              <w:pStyle w:val="Normal"/>
              <w:jc w:val="center"/>
              <w:rPr/>
            </w:pPr>
            <w:r>
              <w:rPr>
                <w:color w:val="2E2E2E"/>
              </w:rPr>
              <w:t>2017</w:t>
            </w:r>
          </w:p>
          <w:p>
            <w:pPr>
              <w:pStyle w:val="Normal"/>
              <w:jc w:val="center"/>
              <w:rPr/>
            </w:pPr>
            <w:r>
              <w:rPr>
                <w:color w:val="2E2E2E"/>
              </w:rPr>
              <w:t>Року</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159,0</w:t>
            </w:r>
          </w:p>
        </w:tc>
      </w:tr>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1.3</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vAlign w:val="center"/>
          </w:tcPr>
          <w:p>
            <w:pPr>
              <w:pStyle w:val="Normal"/>
              <w:rPr/>
            </w:pPr>
            <w:r>
              <w:rPr/>
              <w:t>Підтримка діяльності телебачення та виконання угод щодо висвітлення інформації про діяльність місцевих органів влади засобами телебачення</w:t>
            </w:r>
          </w:p>
          <w:p>
            <w:pPr>
              <w:pStyle w:val="Normal"/>
              <w:rPr/>
            </w:pPr>
            <w:r>
              <w:rPr/>
              <w:t xml:space="preserve"> </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305,0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 xml:space="preserve">Міський </w:t>
            </w:r>
          </w:p>
          <w:p>
            <w:pPr>
              <w:pStyle w:val="Normal"/>
              <w:jc w:val="center"/>
              <w:rPr/>
            </w:pPr>
            <w:r>
              <w:rPr>
                <w:color w:val="2E2E2E"/>
              </w:rPr>
              <w:t xml:space="preserve">бюджет </w:t>
            </w:r>
          </w:p>
          <w:p>
            <w:pPr>
              <w:pStyle w:val="Normal"/>
              <w:jc w:val="center"/>
              <w:rPr/>
            </w:pPr>
            <w:r>
              <w:rPr>
                <w:color w:val="2E2E2E"/>
              </w:rPr>
              <w:t>2017</w:t>
            </w:r>
          </w:p>
          <w:p>
            <w:pPr>
              <w:pStyle w:val="Normal"/>
              <w:jc w:val="center"/>
              <w:rPr/>
            </w:pPr>
            <w:r>
              <w:rPr>
                <w:color w:val="2E2E2E"/>
              </w:rPr>
              <w:t>Року</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305,0</w:t>
            </w:r>
          </w:p>
        </w:tc>
      </w:tr>
      <w:tr>
        <w:trPr/>
        <w:tc>
          <w:tcPr>
            <w:tcW w:w="9331"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 xml:space="preserve">2. Заходи щодо інформування населення міста Білгорода-Дністровського </w:t>
            </w:r>
          </w:p>
        </w:tc>
      </w:tr>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2.1</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t xml:space="preserve">Виготовлення та розміщення міської соціальної реклами на сучасних носіях зовнішньої реклами </w:t>
            </w:r>
            <w:r>
              <w:rPr>
                <w:color w:val="000000"/>
              </w:rPr>
              <w:t>(друк і монтування постерів на носіях зовнішньої реклами).</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25,0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 xml:space="preserve">Міський </w:t>
            </w:r>
          </w:p>
          <w:p>
            <w:pPr>
              <w:pStyle w:val="Normal"/>
              <w:jc w:val="center"/>
              <w:rPr/>
            </w:pPr>
            <w:r>
              <w:rPr>
                <w:color w:val="2E2E2E"/>
              </w:rPr>
              <w:t xml:space="preserve">бюджет </w:t>
            </w:r>
          </w:p>
          <w:p>
            <w:pPr>
              <w:pStyle w:val="Normal"/>
              <w:jc w:val="center"/>
              <w:rPr/>
            </w:pPr>
            <w:r>
              <w:rPr>
                <w:color w:val="2E2E2E"/>
              </w:rPr>
              <w:t>2017</w:t>
            </w:r>
          </w:p>
          <w:p>
            <w:pPr>
              <w:pStyle w:val="Normal"/>
              <w:jc w:val="center"/>
              <w:rPr/>
            </w:pPr>
            <w:r>
              <w:rPr>
                <w:color w:val="2E2E2E"/>
              </w:rPr>
              <w:t>Року</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25,0</w:t>
            </w:r>
          </w:p>
        </w:tc>
      </w:tr>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2.2</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rPr>
              <w:t xml:space="preserve">Розробка та виготовлення, довідкової, іміджевої продукції (випуск друкованих інформаційних матеріалів: книг, брошур, буклетів, листівок) та інших інформаційних матеріалів </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10,0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 xml:space="preserve">Міський </w:t>
            </w:r>
          </w:p>
          <w:p>
            <w:pPr>
              <w:pStyle w:val="Normal"/>
              <w:jc w:val="center"/>
              <w:rPr/>
            </w:pPr>
            <w:r>
              <w:rPr>
                <w:color w:val="2E2E2E"/>
              </w:rPr>
              <w:t xml:space="preserve">бюджет </w:t>
            </w:r>
          </w:p>
          <w:p>
            <w:pPr>
              <w:pStyle w:val="Normal"/>
              <w:jc w:val="center"/>
              <w:rPr/>
            </w:pPr>
            <w:r>
              <w:rPr>
                <w:color w:val="2E2E2E"/>
              </w:rPr>
              <w:t>2017</w:t>
            </w:r>
          </w:p>
          <w:p>
            <w:pPr>
              <w:pStyle w:val="Normal"/>
              <w:jc w:val="center"/>
              <w:rPr/>
            </w:pPr>
            <w:r>
              <w:rPr>
                <w:color w:val="2E2E2E"/>
              </w:rPr>
              <w:t>Року</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10,0</w:t>
            </w:r>
          </w:p>
        </w:tc>
      </w:tr>
      <w:tr>
        <w:trPr/>
        <w:tc>
          <w:tcPr>
            <w:tcW w:w="9331"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3. Забезпечення функціонування офіційного веб-порталу міста Білгорода-Дністровського (</w:t>
            </w:r>
            <w:hyperlink r:id="rId20">
              <w:r>
                <w:rPr>
                  <w:rStyle w:val="Style13"/>
                </w:rPr>
                <w:t>www.bilgorod-d.org.ua</w:t>
              </w:r>
            </w:hyperlink>
            <w:r>
              <w:rPr>
                <w:b/>
                <w:color w:val="2E2E2E"/>
              </w:rPr>
              <w:t>)</w:t>
            </w:r>
          </w:p>
        </w:tc>
      </w:tr>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r>
          </w:p>
        </w:tc>
      </w:tr>
      <w:tr>
        <w:trPr>
          <w:trHeight w:val="1421" w:hRule="atLeast"/>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3.1</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color w:val="000000"/>
              </w:rPr>
              <w:t>Підтримка, оновлення бренду, розміщення та техобслуговування офіційного порталу міста Білгорода-Дністровського, оплата послуг інтернет-провайдера.</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10,0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 xml:space="preserve">Міський </w:t>
            </w:r>
          </w:p>
          <w:p>
            <w:pPr>
              <w:pStyle w:val="Normal"/>
              <w:jc w:val="center"/>
              <w:rPr/>
            </w:pPr>
            <w:r>
              <w:rPr>
                <w:color w:val="2E2E2E"/>
              </w:rPr>
              <w:t xml:space="preserve">бюджет </w:t>
            </w:r>
          </w:p>
          <w:p>
            <w:pPr>
              <w:pStyle w:val="Normal"/>
              <w:jc w:val="center"/>
              <w:rPr/>
            </w:pPr>
            <w:r>
              <w:rPr>
                <w:color w:val="2E2E2E"/>
              </w:rPr>
              <w:t>2017</w:t>
            </w:r>
          </w:p>
          <w:p>
            <w:pPr>
              <w:pStyle w:val="Normal"/>
              <w:jc w:val="center"/>
              <w:rPr/>
            </w:pPr>
            <w:r>
              <w:rPr>
                <w:color w:val="2E2E2E"/>
              </w:rPr>
              <w:t>Року</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10,0</w:t>
            </w:r>
          </w:p>
        </w:tc>
      </w:tr>
      <w:tr>
        <w:trPr>
          <w:trHeight w:val="3025" w:hRule="atLeast"/>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3.2</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t>Закупівля обладнання та комп’ютерної техніки для забезпечення безперебійної роботи інформаційно-аналітичного центру відділу з питань внутрішньої політики та взаємодії з правоохоронними органами міської ради</w:t>
            </w:r>
          </w:p>
          <w:p>
            <w:pPr>
              <w:pStyle w:val="Normal"/>
              <w:rPr/>
            </w:pPr>
            <w:r>
              <w:rPr/>
              <w:t>(фотоапарат,  веб-камери, МФУ,</w:t>
            </w:r>
          </w:p>
          <w:p>
            <w:pPr>
              <w:pStyle w:val="Normal"/>
              <w:rPr/>
            </w:pPr>
            <w:r>
              <w:rPr/>
              <w:t xml:space="preserve">APC Back-UPS, блок живлення, </w:t>
            </w:r>
          </w:p>
          <w:p>
            <w:pPr>
              <w:pStyle w:val="Normal"/>
              <w:rPr/>
            </w:pPr>
            <w:r>
              <w:rPr/>
              <w:t>пам’ять RAM 8Gb, ноутбук).</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65,0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 xml:space="preserve">Міський </w:t>
            </w:r>
          </w:p>
          <w:p>
            <w:pPr>
              <w:pStyle w:val="Normal"/>
              <w:jc w:val="center"/>
              <w:rPr/>
            </w:pPr>
            <w:r>
              <w:rPr>
                <w:color w:val="2E2E2E"/>
              </w:rPr>
              <w:t xml:space="preserve">бюджет </w:t>
            </w:r>
          </w:p>
          <w:p>
            <w:pPr>
              <w:pStyle w:val="Normal"/>
              <w:jc w:val="center"/>
              <w:rPr/>
            </w:pPr>
            <w:r>
              <w:rPr>
                <w:color w:val="2E2E2E"/>
              </w:rPr>
              <w:t>2017</w:t>
            </w:r>
          </w:p>
          <w:p>
            <w:pPr>
              <w:pStyle w:val="Normal"/>
              <w:jc w:val="center"/>
              <w:rPr/>
            </w:pPr>
            <w:r>
              <w:rPr>
                <w:color w:val="2E2E2E"/>
              </w:rPr>
              <w:t>Року</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65,0</w:t>
            </w:r>
          </w:p>
        </w:tc>
      </w:tr>
      <w:tr>
        <w:trPr/>
        <w:tc>
          <w:tcPr>
            <w:tcW w:w="9331" w:type="dxa"/>
            <w:gridSpan w:val="5"/>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r>
          </w:p>
        </w:tc>
      </w:tr>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4.1</w:t>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t>Організація творчого конкурсу серед представників ЗМІ міста Білгорода-Дністровського на кращий сюжет, публікацію на соціально важливу для міста тематику. Святкування професійного свята «Дня журналіста». (виготовлення, закупівля сувенірної продукції, встановлення грошової премії, організація святкування).</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10,0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color w:val="2E2E2E"/>
              </w:rPr>
              <w:t xml:space="preserve">Міський </w:t>
            </w:r>
          </w:p>
          <w:p>
            <w:pPr>
              <w:pStyle w:val="Normal"/>
              <w:jc w:val="center"/>
              <w:rPr/>
            </w:pPr>
            <w:r>
              <w:rPr>
                <w:color w:val="2E2E2E"/>
              </w:rPr>
              <w:t xml:space="preserve">бюджет </w:t>
            </w:r>
          </w:p>
          <w:p>
            <w:pPr>
              <w:pStyle w:val="Normal"/>
              <w:jc w:val="center"/>
              <w:rPr/>
            </w:pPr>
            <w:r>
              <w:rPr>
                <w:color w:val="2E2E2E"/>
              </w:rPr>
              <w:t>2017</w:t>
            </w:r>
          </w:p>
          <w:p>
            <w:pPr>
              <w:pStyle w:val="Normal"/>
              <w:jc w:val="center"/>
              <w:rPr/>
            </w:pPr>
            <w:r>
              <w:rPr>
                <w:color w:val="2E2E2E"/>
              </w:rPr>
              <w:t>Року</w:t>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10,0</w:t>
            </w:r>
          </w:p>
        </w:tc>
      </w:tr>
      <w:tr>
        <w:trPr/>
        <w:tc>
          <w:tcPr>
            <w:tcW w:w="754"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
          </w:p>
        </w:tc>
        <w:tc>
          <w:tcPr>
            <w:tcW w:w="405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rPr/>
            </w:pPr>
            <w:r>
              <w:rPr>
                <w:b/>
                <w:color w:val="2E2E2E"/>
              </w:rPr>
              <w:t>Всього :</w:t>
            </w:r>
          </w:p>
        </w:tc>
        <w:tc>
          <w:tcPr>
            <w:tcW w:w="1337"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b/>
                <w:color w:val="2E2E2E"/>
              </w:rPr>
              <w:t>684,0</w:t>
            </w:r>
          </w:p>
        </w:tc>
        <w:tc>
          <w:tcPr>
            <w:tcW w:w="1755" w:type="dxa"/>
            <w:tcBorders>
              <w:top w:val="single" w:sz="4" w:space="0" w:color="000001"/>
              <w:left w:val="single" w:sz="4" w:space="0" w:color="000001"/>
              <w:bottom w:val="single" w:sz="4" w:space="0" w:color="000001"/>
              <w:insideH w:val="single" w:sz="4" w:space="0" w:color="000001"/>
            </w:tcBorders>
            <w:shd w:fill="FFFFFF" w:val="clear"/>
            <w:tcMar>
              <w:left w:w="73" w:type="dxa"/>
            </w:tcMar>
          </w:tcPr>
          <w:p>
            <w:pPr>
              <w:pStyle w:val="Normal"/>
              <w:jc w:val="center"/>
              <w:rPr/>
            </w:pPr>
            <w:r>
              <w:rPr/>
            </w:r>
          </w:p>
        </w:tc>
        <w:tc>
          <w:tcPr>
            <w:tcW w:w="142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FFFFFF" w:val="clear"/>
            <w:tcMar>
              <w:left w:w="73" w:type="dxa"/>
            </w:tcMar>
          </w:tcPr>
          <w:p>
            <w:pPr>
              <w:pStyle w:val="Normal"/>
              <w:jc w:val="center"/>
              <w:rPr/>
            </w:pPr>
            <w:r>
              <w:rPr>
                <w:b/>
                <w:color w:val="2E2E2E"/>
              </w:rPr>
              <w:t>684,0</w:t>
            </w:r>
          </w:p>
        </w:tc>
      </w:tr>
    </w:tbl>
    <w:p>
      <w:pPr>
        <w:pStyle w:val="Normal"/>
        <w:jc w:val="center"/>
        <w:rPr/>
      </w:pPr>
      <w:r>
        <w:rPr/>
      </w:r>
    </w:p>
    <w:p>
      <w:pPr>
        <w:pStyle w:val="Normal"/>
        <w:jc w:val="center"/>
        <w:rPr/>
      </w:pPr>
      <w:r>
        <w:rPr>
          <w:rFonts w:cs="Arial" w:ascii="Arial" w:hAnsi="Arial"/>
        </w:rPr>
        <w:t>8. Джерела покриття витрат на реалізацію Програми </w:t>
      </w:r>
    </w:p>
    <w:tbl>
      <w:tblPr>
        <w:tblW w:w="8955" w:type="dxa"/>
        <w:jc w:val="left"/>
        <w:tblInd w:w="-228" w:type="dxa"/>
        <w:tblBorders>
          <w:top w:val="thickThinSmallGap" w:sz="12" w:space="0" w:color="808080"/>
          <w:left w:val="thickThinSmallGap" w:sz="12" w:space="0" w:color="808080"/>
          <w:bottom w:val="thickThinSmallGap" w:sz="12" w:space="0" w:color="808080"/>
          <w:insideH w:val="thickThinSmallGap" w:sz="12" w:space="0" w:color="808080"/>
        </w:tblBorders>
        <w:tblCellMar>
          <w:top w:w="0" w:type="dxa"/>
          <w:left w:w="-30" w:type="dxa"/>
          <w:bottom w:w="0" w:type="dxa"/>
          <w:right w:w="0" w:type="dxa"/>
        </w:tblCellMar>
      </w:tblPr>
      <w:tblGrid>
        <w:gridCol w:w="1533"/>
        <w:gridCol w:w="4578"/>
        <w:gridCol w:w="2844"/>
      </w:tblGrid>
      <w:tr>
        <w:trPr/>
        <w:tc>
          <w:tcPr>
            <w:tcW w:w="1533" w:type="dxa"/>
            <w:tcBorders>
              <w:top w:val="thickThinSmallGap" w:sz="12" w:space="0" w:color="808080"/>
              <w:left w:val="thickThinSmallGap" w:sz="12" w:space="0" w:color="808080"/>
              <w:bottom w:val="thickThinSmallGap" w:sz="12" w:space="0" w:color="808080"/>
              <w:insideH w:val="thickThinSmallGap" w:sz="12" w:space="0" w:color="808080"/>
            </w:tcBorders>
            <w:shd w:fill="FFFFFF" w:val="clear"/>
            <w:tcMar>
              <w:left w:w="-30" w:type="dxa"/>
            </w:tcMar>
          </w:tcPr>
          <w:p>
            <w:pPr>
              <w:pStyle w:val="Normal"/>
              <w:spacing w:before="75" w:after="150"/>
              <w:rPr/>
            </w:pPr>
            <w:r>
              <w:rPr>
                <w:rFonts w:cs="Arial" w:ascii="Arial" w:hAnsi="Arial"/>
              </w:rPr>
              <w:t xml:space="preserve">№ </w:t>
            </w:r>
            <w:r>
              <w:rPr>
                <w:rFonts w:cs="Arial" w:ascii="Arial" w:hAnsi="Arial"/>
              </w:rPr>
              <w:t xml:space="preserve">з/п </w:t>
            </w:r>
          </w:p>
        </w:tc>
        <w:tc>
          <w:tcPr>
            <w:tcW w:w="4578" w:type="dxa"/>
            <w:tcBorders>
              <w:top w:val="thickThinSmallGap" w:sz="12" w:space="0" w:color="808080"/>
              <w:left w:val="thickThinSmallGap" w:sz="12" w:space="0" w:color="808080"/>
              <w:bottom w:val="thickThinSmallGap" w:sz="12" w:space="0" w:color="808080"/>
              <w:insideH w:val="thickThinSmallGap" w:sz="12" w:space="0" w:color="808080"/>
            </w:tcBorders>
            <w:shd w:fill="FFFFFF" w:val="clear"/>
            <w:tcMar>
              <w:left w:w="-30" w:type="dxa"/>
            </w:tcMar>
          </w:tcPr>
          <w:p>
            <w:pPr>
              <w:pStyle w:val="Normal"/>
              <w:spacing w:before="75" w:after="150"/>
              <w:rPr/>
            </w:pPr>
            <w:r>
              <w:rPr>
                <w:rFonts w:cs="Arial" w:ascii="Arial" w:hAnsi="Arial"/>
              </w:rPr>
              <w:t xml:space="preserve">Джерело фінансування </w:t>
            </w:r>
          </w:p>
        </w:tc>
        <w:tc>
          <w:tcPr>
            <w:tcW w:w="2844" w:type="dxa"/>
            <w:tcBorders>
              <w:top w:val="thickThinSmallGap" w:sz="12" w:space="0" w:color="808080"/>
              <w:left w:val="thickThinSmallGap" w:sz="12" w:space="0" w:color="808080"/>
              <w:bottom w:val="thickThinSmallGap" w:sz="12" w:space="0" w:color="808080"/>
              <w:right w:val="thickThinSmallGap" w:sz="12" w:space="0" w:color="808080"/>
              <w:insideH w:val="thickThinSmallGap" w:sz="12" w:space="0" w:color="808080"/>
              <w:insideV w:val="thickThinSmallGap" w:sz="12" w:space="0" w:color="808080"/>
            </w:tcBorders>
            <w:shd w:fill="FFFFFF" w:val="clear"/>
            <w:tcMar>
              <w:left w:w="-30" w:type="dxa"/>
            </w:tcMar>
          </w:tcPr>
          <w:p>
            <w:pPr>
              <w:pStyle w:val="Normal"/>
              <w:spacing w:before="75" w:after="150"/>
              <w:rPr/>
            </w:pPr>
            <w:r>
              <w:rPr>
                <w:rFonts w:cs="Arial" w:ascii="Arial" w:hAnsi="Arial"/>
              </w:rPr>
              <w:t>Сума, тис. грн.</w:t>
            </w:r>
          </w:p>
        </w:tc>
      </w:tr>
      <w:tr>
        <w:trPr/>
        <w:tc>
          <w:tcPr>
            <w:tcW w:w="1533" w:type="dxa"/>
            <w:tcBorders>
              <w:top w:val="thickThinSmallGap" w:sz="12" w:space="0" w:color="808080"/>
              <w:left w:val="thickThinSmallGap" w:sz="12" w:space="0" w:color="808080"/>
              <w:bottom w:val="thickThinSmallGap" w:sz="12" w:space="0" w:color="808080"/>
              <w:insideH w:val="thickThinSmallGap" w:sz="12" w:space="0" w:color="808080"/>
            </w:tcBorders>
            <w:shd w:fill="FFFFFF" w:val="clear"/>
            <w:tcMar>
              <w:left w:w="-30" w:type="dxa"/>
            </w:tcMar>
          </w:tcPr>
          <w:p>
            <w:pPr>
              <w:pStyle w:val="Normal"/>
              <w:spacing w:before="75" w:after="150"/>
              <w:rPr/>
            </w:pPr>
            <w:r>
              <w:rPr>
                <w:rFonts w:cs="Arial" w:ascii="Arial" w:hAnsi="Arial"/>
              </w:rPr>
              <w:t>1</w:t>
            </w:r>
          </w:p>
        </w:tc>
        <w:tc>
          <w:tcPr>
            <w:tcW w:w="4578" w:type="dxa"/>
            <w:tcBorders>
              <w:top w:val="thickThinSmallGap" w:sz="12" w:space="0" w:color="808080"/>
              <w:left w:val="thickThinSmallGap" w:sz="12" w:space="0" w:color="808080"/>
              <w:bottom w:val="thickThinSmallGap" w:sz="12" w:space="0" w:color="808080"/>
              <w:insideH w:val="thickThinSmallGap" w:sz="12" w:space="0" w:color="808080"/>
            </w:tcBorders>
            <w:shd w:fill="FFFFFF" w:val="clear"/>
            <w:tcMar>
              <w:left w:w="-30" w:type="dxa"/>
            </w:tcMar>
          </w:tcPr>
          <w:p>
            <w:pPr>
              <w:pStyle w:val="Normal"/>
              <w:spacing w:before="75" w:after="150"/>
              <w:rPr/>
            </w:pPr>
            <w:r>
              <w:rPr>
                <w:rFonts w:cs="Arial" w:ascii="Arial" w:hAnsi="Arial"/>
              </w:rPr>
              <w:t>Бюджет міста Білгорода-Дністровського на 2017 рік</w:t>
            </w:r>
          </w:p>
        </w:tc>
        <w:tc>
          <w:tcPr>
            <w:tcW w:w="2844" w:type="dxa"/>
            <w:tcBorders>
              <w:top w:val="thickThinSmallGap" w:sz="12" w:space="0" w:color="808080"/>
              <w:left w:val="thickThinSmallGap" w:sz="12" w:space="0" w:color="808080"/>
              <w:bottom w:val="thickThinSmallGap" w:sz="12" w:space="0" w:color="808080"/>
              <w:right w:val="thickThinSmallGap" w:sz="12" w:space="0" w:color="808080"/>
              <w:insideH w:val="thickThinSmallGap" w:sz="12" w:space="0" w:color="808080"/>
              <w:insideV w:val="thickThinSmallGap" w:sz="12" w:space="0" w:color="808080"/>
            </w:tcBorders>
            <w:shd w:fill="FFFFFF" w:val="clear"/>
            <w:tcMar>
              <w:left w:w="-30" w:type="dxa"/>
            </w:tcMar>
          </w:tcPr>
          <w:p>
            <w:pPr>
              <w:pStyle w:val="Normal"/>
              <w:spacing w:before="75" w:after="150"/>
              <w:jc w:val="center"/>
              <w:rPr/>
            </w:pPr>
            <w:r>
              <w:rPr>
                <w:rFonts w:cs="Arial" w:ascii="Arial" w:hAnsi="Arial"/>
              </w:rPr>
              <w:t>684,0</w:t>
            </w:r>
          </w:p>
        </w:tc>
      </w:tr>
    </w:tbl>
    <w:p>
      <w:pPr>
        <w:pStyle w:val="Normal"/>
        <w:rPr/>
      </w:pPr>
      <w:r>
        <w:rPr/>
      </w:r>
    </w:p>
    <w:sectPr>
      <w:type w:val="nextPage"/>
      <w:pgSz w:w="11906" w:h="16838"/>
      <w:pgMar w:left="1701" w:right="1106" w:header="0" w:top="567"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Tahoma">
    <w:charset w:val="01"/>
    <w:family w:val="roman"/>
    <w:pitch w:val="variable"/>
  </w:font>
  <w:font w:name="Calibri">
    <w:charset w:val="01"/>
    <w:family w:val="roman"/>
    <w:pitch w:val="variable"/>
  </w:font>
</w:fonts>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roid Sans Fallback" w:cs="FreeSans"/>
        <w:szCs w:val="24"/>
        <w:lang w:val="ru-RU"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sz w:val="24"/>
      <w:szCs w:val="24"/>
      <w:lang w:val="uk-UA" w:eastAsia="zh-CN" w:bidi="ar-SA"/>
    </w:rPr>
  </w:style>
  <w:style w:type="paragraph" w:styleId="1">
    <w:name w:val="Heading 1"/>
    <w:basedOn w:val="Normal"/>
    <w:qFormat/>
    <w:pPr>
      <w:keepNext/>
      <w:jc w:val="center"/>
    </w:pPr>
    <w:rPr>
      <w:rFonts w:ascii="Arial" w:hAnsi="Arial" w:cs="Arial"/>
      <w:b/>
      <w:bCs/>
      <w:caps/>
      <w:sz w:val="28"/>
    </w:rPr>
  </w:style>
  <w:style w:type="character" w:styleId="DefaultParagraphFont">
    <w:name w:val="Default Paragraph Font"/>
    <w:qFormat/>
    <w:rPr/>
  </w:style>
  <w:style w:type="character" w:styleId="Heading1Char">
    <w:name w:val="Heading 1 Char"/>
    <w:basedOn w:val="DefaultParagraphFont"/>
    <w:qFormat/>
    <w:rPr>
      <w:rFonts w:ascii="Cambria" w:hAnsi="Cambria" w:cs=""/>
      <w:b/>
      <w:bCs/>
      <w:color w:val="00000A"/>
      <w:sz w:val="32"/>
      <w:szCs w:val="32"/>
      <w:lang w:val="uk-UA"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11">
    <w:name w:val="Основной шрифт абзаца1"/>
    <w:qFormat/>
    <w:rPr/>
  </w:style>
  <w:style w:type="character" w:styleId="Style13">
    <w:name w:val="Интернет-ссылка"/>
    <w:basedOn w:val="11"/>
    <w:rPr>
      <w:rFonts w:cs="Times New Roman"/>
      <w:color w:val="336B91"/>
      <w:u w:val="single"/>
      <w:lang w:val="ru-RU" w:eastAsia="ru-RU" w:bidi="ru-RU"/>
    </w:rPr>
  </w:style>
  <w:style w:type="character" w:styleId="Style14">
    <w:name w:val="Выделение жирным"/>
    <w:basedOn w:val="11"/>
    <w:qFormat/>
    <w:rPr>
      <w:rFonts w:cs="Times New Roman"/>
      <w:b/>
      <w:bCs/>
    </w:rPr>
  </w:style>
  <w:style w:type="character" w:styleId="3">
    <w:name w:val="Знак Знак3"/>
    <w:basedOn w:val="11"/>
    <w:qFormat/>
    <w:rPr>
      <w:rFonts w:cs="Times New Roman"/>
      <w:iCs/>
      <w:sz w:val="24"/>
      <w:szCs w:val="24"/>
      <w:lang w:bidi="ar-SA"/>
    </w:rPr>
  </w:style>
  <w:style w:type="character" w:styleId="BodyTextChar">
    <w:name w:val="Body Text Char"/>
    <w:basedOn w:val="DefaultParagraphFont"/>
    <w:qFormat/>
    <w:rPr>
      <w:color w:val="00000A"/>
      <w:sz w:val="24"/>
      <w:szCs w:val="24"/>
      <w:lang w:val="uk-UA" w:eastAsia="zh-CN"/>
    </w:rPr>
  </w:style>
  <w:style w:type="character" w:styleId="TitleChar">
    <w:name w:val="Title Char"/>
    <w:basedOn w:val="DefaultParagraphFont"/>
    <w:qFormat/>
    <w:rPr>
      <w:rFonts w:ascii="Cambria" w:hAnsi="Cambria" w:cs=""/>
      <w:b/>
      <w:bCs/>
      <w:color w:val="00000A"/>
      <w:sz w:val="32"/>
      <w:szCs w:val="32"/>
      <w:lang w:val="uk-UA" w:eastAsia="zh-CN"/>
    </w:rPr>
  </w:style>
  <w:style w:type="character" w:styleId="BalloonTextChar">
    <w:name w:val="Balloon Text Char"/>
    <w:basedOn w:val="DefaultParagraphFont"/>
    <w:qFormat/>
    <w:rPr>
      <w:color w:val="00000A"/>
      <w:sz w:val="0"/>
      <w:szCs w:val="0"/>
      <w:lang w:val="uk-UA" w:eastAsia="zh-CN"/>
    </w:rPr>
  </w:style>
  <w:style w:type="character" w:styleId="BodyTextIndentChar">
    <w:name w:val="Body Text Indent Char"/>
    <w:basedOn w:val="DefaultParagraphFont"/>
    <w:qFormat/>
    <w:rPr>
      <w:color w:val="00000A"/>
      <w:sz w:val="24"/>
      <w:szCs w:val="24"/>
      <w:lang w:val="uk-UA" w:eastAsia="zh-CN"/>
    </w:rPr>
  </w:style>
  <w:style w:type="paragraph" w:styleId="Style15">
    <w:name w:val="Заголовок"/>
    <w:basedOn w:val="Normal"/>
    <w:next w:val="Style16"/>
    <w:qFormat/>
    <w:pPr>
      <w:keepNext/>
      <w:spacing w:before="240" w:after="120"/>
    </w:pPr>
    <w:rPr>
      <w:rFonts w:ascii="Arial" w:hAnsi="Arial" w:eastAsia="WenQuanYi Micro Hei" w:cs="Lohit Hindi"/>
      <w:sz w:val="28"/>
      <w:szCs w:val="28"/>
    </w:rPr>
  </w:style>
  <w:style w:type="paragraph" w:styleId="Style16">
    <w:name w:val="Body Text"/>
    <w:basedOn w:val="Normal"/>
    <w:pPr>
      <w:spacing w:lineRule="auto" w:line="288" w:before="0" w:after="120"/>
    </w:pPr>
    <w:rPr/>
  </w:style>
  <w:style w:type="paragraph" w:styleId="Style17">
    <w:name w:val="List"/>
    <w:basedOn w:val="Style16"/>
    <w:pPr/>
    <w:rPr>
      <w:rFonts w:cs="Lohit Hindi"/>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Title"/>
    <w:basedOn w:val="Normal"/>
    <w:qFormat/>
    <w:pPr>
      <w:suppressLineNumbers/>
      <w:spacing w:before="120" w:after="120"/>
      <w:jc w:val="center"/>
    </w:pPr>
    <w:rPr>
      <w:rFonts w:cs="Lohit Hindi"/>
      <w:b/>
      <w:bCs/>
      <w:i/>
      <w:iCs/>
      <w:sz w:val="36"/>
      <w:szCs w:val="36"/>
    </w:rPr>
  </w:style>
  <w:style w:type="paragraph" w:styleId="Style21">
    <w:name w:val="Subtitle"/>
    <w:basedOn w:val="Style15"/>
    <w:qFormat/>
    <w:pPr>
      <w:jc w:val="center"/>
    </w:pPr>
    <w:rPr>
      <w:i/>
      <w:iCs/>
      <w:sz w:val="28"/>
      <w:szCs w:val="28"/>
    </w:rPr>
  </w:style>
  <w:style w:type="paragraph" w:styleId="Index1">
    <w:name w:val="index 1"/>
    <w:basedOn w:val="Normal"/>
    <w:qFormat/>
    <w:pPr>
      <w:ind w:left="240" w:right="0" w:hanging="240"/>
    </w:pPr>
    <w:rPr/>
  </w:style>
  <w:style w:type="paragraph" w:styleId="Indexheading">
    <w:name w:val="index heading"/>
    <w:basedOn w:val="Normal"/>
    <w:qFormat/>
    <w:pPr>
      <w:suppressLineNumbers/>
    </w:pPr>
    <w:rPr>
      <w:rFonts w:cs="Lohit Hindi"/>
    </w:rPr>
  </w:style>
  <w:style w:type="paragraph" w:styleId="Caption">
    <w:name w:val="caption"/>
    <w:basedOn w:val="Normal"/>
    <w:qFormat/>
    <w:pPr>
      <w:suppressLineNumbers/>
      <w:spacing w:before="120" w:after="120"/>
    </w:pPr>
    <w:rPr>
      <w:rFonts w:cs="Lohit Hindi"/>
      <w:i/>
      <w:iCs/>
    </w:rPr>
  </w:style>
  <w:style w:type="paragraph" w:styleId="21">
    <w:name w:val="Указатель2"/>
    <w:basedOn w:val="Normal"/>
    <w:qFormat/>
    <w:pPr>
      <w:suppressLineNumbers/>
    </w:pPr>
    <w:rPr>
      <w:rFonts w:cs="Lohit Hindi"/>
    </w:rPr>
  </w:style>
  <w:style w:type="paragraph" w:styleId="12">
    <w:name w:val="Название объекта1"/>
    <w:basedOn w:val="Normal"/>
    <w:qFormat/>
    <w:pPr>
      <w:suppressLineNumbers/>
      <w:spacing w:before="120" w:after="120"/>
    </w:pPr>
    <w:rPr>
      <w:rFonts w:cs="Lohit Hindi"/>
      <w:i/>
      <w:iCs/>
    </w:rPr>
  </w:style>
  <w:style w:type="paragraph" w:styleId="13">
    <w:name w:val="Указатель1"/>
    <w:basedOn w:val="Normal"/>
    <w:qFormat/>
    <w:pPr>
      <w:suppressLineNumbers/>
    </w:pPr>
    <w:rPr>
      <w:rFonts w:cs="Lohit Hindi"/>
    </w:rPr>
  </w:style>
  <w:style w:type="paragraph" w:styleId="BalloonText">
    <w:name w:val="Balloon Text"/>
    <w:basedOn w:val="Normal"/>
    <w:qFormat/>
    <w:pPr/>
    <w:rPr>
      <w:rFonts w:ascii="Tahoma" w:hAnsi="Tahoma" w:cs="Tahoma"/>
      <w:sz w:val="16"/>
      <w:szCs w:val="16"/>
    </w:rPr>
  </w:style>
  <w:style w:type="paragraph" w:styleId="Style22">
    <w:name w:val="Стиль"/>
    <w:qFormat/>
    <w:pPr>
      <w:widowControl w:val="false"/>
      <w:suppressAutoHyphens w:val="true"/>
      <w:bidi w:val="0"/>
      <w:jc w:val="left"/>
    </w:pPr>
    <w:rPr>
      <w:rFonts w:ascii="Times New Roman" w:hAnsi="Times New Roman" w:eastAsia="Times New Roman" w:cs="Times New Roman"/>
      <w:color w:val="00000A"/>
      <w:sz w:val="24"/>
      <w:szCs w:val="24"/>
      <w:lang w:val="uk-UA" w:eastAsia="zh-CN" w:bidi="ar-SA"/>
    </w:rPr>
  </w:style>
  <w:style w:type="paragraph" w:styleId="Style23">
    <w:name w:val="Body Text Indent"/>
    <w:basedOn w:val="Normal"/>
    <w:pPr>
      <w:ind w:left="283" w:right="0" w:firstLine="900"/>
      <w:jc w:val="both"/>
    </w:pPr>
    <w:rPr>
      <w:iCs/>
      <w:sz w:val="28"/>
    </w:rPr>
  </w:style>
  <w:style w:type="paragraph" w:styleId="Style24">
    <w:name w:val="Без інтервалів"/>
    <w:qFormat/>
    <w:pPr>
      <w:widowControl/>
      <w:suppressAutoHyphens w:val="true"/>
      <w:bidi w:val="0"/>
      <w:jc w:val="left"/>
    </w:pPr>
    <w:rPr>
      <w:rFonts w:ascii="Calibri" w:hAnsi="Calibri" w:eastAsia="Times New Roman" w:cs="Calibri"/>
      <w:color w:val="00000A"/>
      <w:sz w:val="22"/>
      <w:szCs w:val="22"/>
      <w:lang w:val="uk-UA" w:eastAsia="zh-CN" w:bidi="ar-SA"/>
    </w:rPr>
  </w:style>
  <w:style w:type="paragraph" w:styleId="Style25">
    <w:name w:val="Содержимое таблицы"/>
    <w:basedOn w:val="Normal"/>
    <w:qFormat/>
    <w:pPr>
      <w:suppressLineNumbers/>
    </w:pPr>
    <w:rPr/>
  </w:style>
  <w:style w:type="paragraph" w:styleId="Style26">
    <w:name w:val="Заголовок таблицы"/>
    <w:basedOn w:val="Style25"/>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ilgorod-d.org.ua/" TargetMode="External"/><Relationship Id="rId3" Type="http://schemas.openxmlformats.org/officeDocument/2006/relationships/hyperlink" Target="http://www.bilgorod-d.org.ua/" TargetMode="External"/><Relationship Id="rId4" Type="http://schemas.openxmlformats.org/officeDocument/2006/relationships/hyperlink" Target="http://www.bilgorod-d.org.ua/" TargetMode="External"/><Relationship Id="rId5" Type="http://schemas.openxmlformats.org/officeDocument/2006/relationships/hyperlink" Target="http://www.bilgorod-d.org.ua/" TargetMode="External"/><Relationship Id="rId6" Type="http://schemas.openxmlformats.org/officeDocument/2006/relationships/hyperlink" Target="http://www.bilgorod-d.org.ua/" TargetMode="External"/><Relationship Id="rId7" Type="http://schemas.openxmlformats.org/officeDocument/2006/relationships/hyperlink" Target="http://www.bilgorod-d.org.ua/" TargetMode="External"/><Relationship Id="rId8" Type="http://schemas.openxmlformats.org/officeDocument/2006/relationships/hyperlink" Target="http://www.bilgorod-d.org.ua/" TargetMode="External"/><Relationship Id="rId9" Type="http://schemas.openxmlformats.org/officeDocument/2006/relationships/hyperlink" Target="http://www.bilgorod-d.org.ua/" TargetMode="External"/><Relationship Id="rId10" Type="http://schemas.openxmlformats.org/officeDocument/2006/relationships/hyperlink" Target="http://www.bilgorod-d.org.ua/" TargetMode="External"/><Relationship Id="rId11" Type="http://schemas.openxmlformats.org/officeDocument/2006/relationships/hyperlink" Target="http://www.bilgorod-d.org.ua/" TargetMode="External"/><Relationship Id="rId12" Type="http://schemas.openxmlformats.org/officeDocument/2006/relationships/hyperlink" Target="http://www.bilgorod-d.org.ua/" TargetMode="External"/><Relationship Id="rId13" Type="http://schemas.openxmlformats.org/officeDocument/2006/relationships/hyperlink" Target="http://www.bilgorod-d.org.ua/" TargetMode="External"/><Relationship Id="rId14" Type="http://schemas.openxmlformats.org/officeDocument/2006/relationships/hyperlink" Target="http://www.bilgorod-d.org.ua/" TargetMode="External"/><Relationship Id="rId15" Type="http://schemas.openxmlformats.org/officeDocument/2006/relationships/hyperlink" Target="http://www.bilgorod-d.org.ua/" TargetMode="External"/><Relationship Id="rId16" Type="http://schemas.openxmlformats.org/officeDocument/2006/relationships/hyperlink" Target="http://www.bilgorod-d.org.ua/" TargetMode="External"/><Relationship Id="rId17" Type="http://schemas.openxmlformats.org/officeDocument/2006/relationships/hyperlink" Target="http://www.bilgorod-d.org.ua/" TargetMode="External"/><Relationship Id="rId18" Type="http://schemas.openxmlformats.org/officeDocument/2006/relationships/hyperlink" Target="http://www.bilgorod-d.org.ua/" TargetMode="External"/><Relationship Id="rId19" Type="http://schemas.openxmlformats.org/officeDocument/2006/relationships/hyperlink" Target="http://www.bilgorod-d.org.ua/" TargetMode="External"/><Relationship Id="rId20" Type="http://schemas.openxmlformats.org/officeDocument/2006/relationships/hyperlink" Target="http://www.bilgorod-d.org.ua/"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1</TotalTime>
  <Application>LibreOffice/5.2.3.2$Linux_X86_64 LibreOffice_project/20m0$Build-2</Application>
  <Pages>12</Pages>
  <Words>2644</Words>
  <Characters>19122</Characters>
  <CharactersWithSpaces>21721</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2016-12-26T08:10:00Z</dcterms:created>
  <dc:creator>User</dc:creator>
  <dc:description/>
  <dc:language>ru-RU</dc:language>
  <cp:lastModifiedBy>Admin</cp:lastModifiedBy>
  <cp:lastPrinted>2016-12-26T10:15:43Z</cp:lastPrinted>
  <dcterms:modified xsi:type="dcterms:W3CDTF">2016-12-26T08:10:00Z</dcterms:modified>
  <cp:revision>2</cp:revision>
  <dc:subject/>
  <dc:title/>
</cp:coreProperties>
</file>