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3"/>
        <w:rPr>
          <w:rFonts w:ascii="Arial" w:hAnsi="Arial"/>
          <w:sz w:val="24"/>
          <w:szCs w:val="24"/>
          <w:lang w:val="uk-UA"/>
        </w:rPr>
      </w:pPr>
      <w:r>
        <w:rPr>
          <w:rFonts w:ascii="Arial" w:hAnsi="Arial"/>
          <w:sz w:val="24"/>
          <w:szCs w:val="24"/>
          <w:lang w:val="uk-UA"/>
        </w:rPr>
        <w:t>Інформація про наміри підняття тарифів на 2019 рік на централізоване водопостачання, водовідведення та на послуги з централізованого постачання холодної води, водовідведення (з використанням внутрішньо будинкових мереж), що надаються Комунальним підприємством «Білгород-Дністровськводоканал»</w:t>
      </w:r>
    </w:p>
    <w:p>
      <w:pPr>
        <w:pStyle w:val="Style13"/>
        <w:rPr>
          <w:rFonts w:ascii="Arial" w:hAnsi="Arial"/>
          <w:sz w:val="24"/>
          <w:szCs w:val="24"/>
          <w:lang w:val="uk-UA"/>
        </w:rPr>
      </w:pPr>
      <w:r>
        <w:rPr>
          <w:rFonts w:ascii="Arial" w:hAnsi="Arial"/>
          <w:sz w:val="24"/>
          <w:szCs w:val="24"/>
          <w:lang w:val="uk-UA"/>
        </w:rPr>
      </w:r>
    </w:p>
    <w:p>
      <w:pPr>
        <w:pStyle w:val="Style13"/>
        <w:rPr>
          <w:rFonts w:ascii="Arial" w:hAnsi="Arial"/>
          <w:sz w:val="24"/>
          <w:szCs w:val="24"/>
          <w:lang w:val="uk-UA"/>
        </w:rPr>
      </w:pPr>
      <w:r>
        <w:rPr>
          <w:rFonts w:ascii="Arial" w:hAnsi="Arial"/>
          <w:sz w:val="24"/>
          <w:szCs w:val="24"/>
          <w:lang w:val="uk-UA"/>
        </w:rPr>
        <w:t>Комунальне підприємство «Білгород-Дністровськводоканал» створено для забезпечення населення, установ та підприємств міста Білгорода-Дністровського послугами з централізованого водопостачання та водовідведення. Власником підприємства є Білгород-Дністровська міська рада. Уповноваженими органами з управління підприємства є виконавчий комітет та управління житлово-комунального господарства Білгород-Дністровської міської ради.</w:t>
      </w:r>
    </w:p>
    <w:p>
      <w:pPr>
        <w:pStyle w:val="Style13"/>
        <w:rPr>
          <w:rFonts w:ascii="Arial" w:hAnsi="Arial"/>
          <w:sz w:val="24"/>
          <w:szCs w:val="24"/>
          <w:lang w:val="uk-UA"/>
        </w:rPr>
      </w:pPr>
      <w:r>
        <w:rPr>
          <w:rFonts w:ascii="Arial" w:hAnsi="Arial"/>
          <w:sz w:val="24"/>
          <w:szCs w:val="24"/>
          <w:lang w:val="uk-UA"/>
        </w:rPr>
        <w:t>Комунальне підприємство «Білгород-Дністровськводоканал» діє на підставі статуту та ліцензії на право провадження господарської діяльності з централізованого водопостачання та водовідведення АГ № 594966 (постанова НКРЕКП від 27.05.2016 № 859).</w:t>
      </w:r>
    </w:p>
    <w:p>
      <w:pPr>
        <w:pStyle w:val="Style13"/>
        <w:rPr>
          <w:rFonts w:ascii="Arial" w:hAnsi="Arial"/>
          <w:sz w:val="24"/>
          <w:szCs w:val="24"/>
          <w:lang w:val="uk-UA"/>
        </w:rPr>
      </w:pPr>
      <w:r>
        <w:rPr>
          <w:rFonts w:ascii="Arial" w:hAnsi="Arial"/>
          <w:sz w:val="24"/>
          <w:szCs w:val="24"/>
          <w:lang w:val="uk-UA"/>
        </w:rPr>
        <w:t>Основні виробничі потужності КП «Білгород-Дністровськводоканал»:</w:t>
      </w:r>
    </w:p>
    <w:p>
      <w:pPr>
        <w:pStyle w:val="Style13"/>
        <w:numPr>
          <w:ilvl w:val="0"/>
          <w:numId w:val="1"/>
        </w:numPr>
        <w:rPr>
          <w:rFonts w:ascii="Arial" w:hAnsi="Arial"/>
          <w:sz w:val="24"/>
          <w:szCs w:val="24"/>
          <w:lang w:val="uk-UA"/>
        </w:rPr>
      </w:pPr>
      <w:r>
        <w:rPr>
          <w:rFonts w:ascii="Arial" w:hAnsi="Arial"/>
          <w:sz w:val="24"/>
          <w:szCs w:val="24"/>
          <w:lang w:val="uk-UA"/>
        </w:rPr>
        <w:t>по водопостачанню:</w:t>
      </w:r>
    </w:p>
    <w:p>
      <w:pPr>
        <w:pStyle w:val="Style13"/>
        <w:numPr>
          <w:ilvl w:val="0"/>
          <w:numId w:val="2"/>
        </w:numPr>
        <w:rPr>
          <w:rFonts w:ascii="Arial" w:hAnsi="Arial"/>
          <w:sz w:val="24"/>
          <w:szCs w:val="24"/>
          <w:lang w:val="uk-UA"/>
        </w:rPr>
      </w:pPr>
      <w:r>
        <w:rPr>
          <w:rFonts w:ascii="Arial" w:hAnsi="Arial"/>
          <w:sz w:val="24"/>
          <w:szCs w:val="24"/>
          <w:lang w:val="uk-UA"/>
        </w:rPr>
        <w:t>артезіанські свердловини глибиною підйому від 60 до 282 у кількості 41 од. загальною проектною потужністю3709,0 тис.куб.м/рік;</w:t>
      </w:r>
    </w:p>
    <w:p>
      <w:pPr>
        <w:pStyle w:val="Style13"/>
        <w:numPr>
          <w:ilvl w:val="0"/>
          <w:numId w:val="2"/>
        </w:numPr>
        <w:rPr>
          <w:rFonts w:ascii="Arial" w:hAnsi="Arial"/>
          <w:sz w:val="24"/>
          <w:szCs w:val="24"/>
          <w:lang w:val="uk-UA"/>
        </w:rPr>
      </w:pPr>
      <w:r>
        <w:rPr>
          <w:rFonts w:ascii="Arial" w:hAnsi="Arial"/>
          <w:sz w:val="24"/>
          <w:szCs w:val="24"/>
          <w:lang w:val="uk-UA"/>
        </w:rPr>
        <w:t>водопровідні насосні станції (підкачка води) у кількості 5 од.;</w:t>
      </w:r>
    </w:p>
    <w:p>
      <w:pPr>
        <w:pStyle w:val="Style13"/>
        <w:numPr>
          <w:ilvl w:val="0"/>
          <w:numId w:val="2"/>
        </w:numPr>
        <w:rPr>
          <w:rFonts w:ascii="Arial" w:hAnsi="Arial"/>
          <w:sz w:val="24"/>
          <w:szCs w:val="24"/>
          <w:lang w:val="uk-UA"/>
        </w:rPr>
      </w:pPr>
      <w:r>
        <w:rPr>
          <w:rFonts w:ascii="Arial" w:hAnsi="Arial"/>
          <w:sz w:val="24"/>
          <w:szCs w:val="24"/>
          <w:lang w:val="uk-UA"/>
        </w:rPr>
        <w:t>водопровідні мережі загальною протяжністю 152,5 км.</w:t>
      </w:r>
    </w:p>
    <w:p>
      <w:pPr>
        <w:pStyle w:val="Style13"/>
        <w:numPr>
          <w:ilvl w:val="0"/>
          <w:numId w:val="1"/>
        </w:numPr>
        <w:rPr>
          <w:rFonts w:ascii="Arial" w:hAnsi="Arial"/>
          <w:sz w:val="24"/>
          <w:szCs w:val="24"/>
          <w:lang w:val="uk-UA"/>
        </w:rPr>
      </w:pPr>
      <w:r>
        <w:rPr>
          <w:rFonts w:ascii="Arial" w:hAnsi="Arial"/>
          <w:sz w:val="24"/>
          <w:szCs w:val="24"/>
          <w:lang w:val="uk-UA"/>
        </w:rPr>
        <w:t>по водовідведенню:</w:t>
      </w:r>
    </w:p>
    <w:p>
      <w:pPr>
        <w:pStyle w:val="Style13"/>
        <w:numPr>
          <w:ilvl w:val="0"/>
          <w:numId w:val="2"/>
        </w:numPr>
        <w:rPr>
          <w:rFonts w:ascii="Arial" w:hAnsi="Arial"/>
          <w:sz w:val="24"/>
          <w:szCs w:val="24"/>
          <w:lang w:val="uk-UA"/>
        </w:rPr>
      </w:pPr>
      <w:r>
        <w:rPr>
          <w:rFonts w:ascii="Arial" w:hAnsi="Arial"/>
          <w:sz w:val="24"/>
          <w:szCs w:val="24"/>
          <w:lang w:val="uk-UA"/>
        </w:rPr>
        <w:t>станція очистки стічних вод загальною проектною потужність 3600 тис.куб.м/рік;</w:t>
      </w:r>
    </w:p>
    <w:p>
      <w:pPr>
        <w:pStyle w:val="Style13"/>
        <w:numPr>
          <w:ilvl w:val="0"/>
          <w:numId w:val="2"/>
        </w:numPr>
        <w:rPr>
          <w:rFonts w:ascii="Arial" w:hAnsi="Arial"/>
          <w:sz w:val="24"/>
          <w:szCs w:val="24"/>
          <w:lang w:val="uk-UA"/>
        </w:rPr>
      </w:pPr>
      <w:r>
        <w:rPr>
          <w:rFonts w:ascii="Arial" w:hAnsi="Arial"/>
          <w:sz w:val="24"/>
          <w:szCs w:val="24"/>
          <w:lang w:val="uk-UA"/>
        </w:rPr>
        <w:t>каналізаційні насосні станції 14 од.;</w:t>
      </w:r>
    </w:p>
    <w:p>
      <w:pPr>
        <w:pStyle w:val="Style13"/>
        <w:numPr>
          <w:ilvl w:val="0"/>
          <w:numId w:val="2"/>
        </w:numPr>
        <w:rPr>
          <w:rFonts w:ascii="Arial" w:hAnsi="Arial"/>
          <w:sz w:val="24"/>
          <w:szCs w:val="24"/>
          <w:lang w:val="uk-UA"/>
        </w:rPr>
      </w:pPr>
      <w:r>
        <w:rPr>
          <w:rFonts w:ascii="Arial" w:hAnsi="Arial"/>
          <w:sz w:val="24"/>
          <w:szCs w:val="24"/>
          <w:lang w:val="uk-UA"/>
        </w:rPr>
        <w:t>каналізаційні мережі загальною протяжністю 80,2 км.</w:t>
      </w:r>
    </w:p>
    <w:p>
      <w:pPr>
        <w:pStyle w:val="Style13"/>
        <w:rPr>
          <w:rFonts w:ascii="Arial" w:hAnsi="Arial"/>
          <w:sz w:val="24"/>
          <w:szCs w:val="24"/>
          <w:lang w:val="uk-UA"/>
        </w:rPr>
      </w:pPr>
      <w:r>
        <w:rPr>
          <w:rFonts w:ascii="Arial" w:hAnsi="Arial"/>
          <w:sz w:val="24"/>
          <w:szCs w:val="24"/>
          <w:lang w:val="uk-UA"/>
        </w:rPr>
        <w:t>На сьогоднішній день діють тарифи встановлені рішенням Білгород-Дністровської міської ради  від 21.03.2018 р. № 224.</w:t>
      </w:r>
    </w:p>
    <w:tbl>
      <w:tblPr>
        <w:jc w:val="left"/>
        <w:tblInd w:w="10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4784"/>
        <w:gridCol w:w="1134"/>
        <w:gridCol w:w="1416"/>
        <w:gridCol w:w="1416"/>
        <w:gridCol w:w="997"/>
      </w:tblGrid>
      <w:tr>
        <w:trPr>
          <w:trHeight w:val="1025" w:hRule="atLeast"/>
          <w:cantSplit w:val="false"/>
        </w:trPr>
        <w:tc>
          <w:tcPr>
            <w:tcW w:w="478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tcPr>
          <w:p>
            <w:pPr>
              <w:pStyle w:val="Style13"/>
              <w:spacing w:before="0" w:after="140"/>
              <w:rPr>
                <w:rFonts w:ascii="Arial" w:hAnsi="Arial"/>
                <w:sz w:val="24"/>
                <w:szCs w:val="24"/>
                <w:lang w:val="uk-UA" w:eastAsia="uk-UA"/>
              </w:rPr>
            </w:pPr>
            <w:bookmarkStart w:id="0" w:name="RANGE!A1"/>
            <w:bookmarkEnd w:id="0"/>
            <w:r>
              <w:rPr>
                <w:rFonts w:ascii="Arial" w:hAnsi="Arial"/>
                <w:sz w:val="24"/>
                <w:szCs w:val="24"/>
                <w:lang w:val="uk-UA" w:eastAsia="uk-UA"/>
              </w:rPr>
              <w:t>Найменування тарифів</w:t>
            </w:r>
          </w:p>
        </w:tc>
        <w:tc>
          <w:tcPr>
            <w:tcW w:w="113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 xml:space="preserve">Діючі тарифи </w:t>
              <w:br/>
              <w:t>рн./м³ без ПДВ</w:t>
            </w:r>
          </w:p>
        </w:tc>
        <w:tc>
          <w:tcPr>
            <w:tcW w:w="141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tcPr>
          <w:p>
            <w:pPr>
              <w:pStyle w:val="Style13"/>
              <w:rPr>
                <w:rFonts w:ascii="Arial" w:hAnsi="Arial"/>
                <w:sz w:val="24"/>
                <w:szCs w:val="24"/>
                <w:lang w:val="uk-UA" w:eastAsia="uk-UA"/>
              </w:rPr>
            </w:pPr>
            <w:r>
              <w:rPr>
                <w:rFonts w:ascii="Arial" w:hAnsi="Arial"/>
                <w:sz w:val="24"/>
                <w:szCs w:val="24"/>
                <w:lang w:val="uk-UA" w:eastAsia="uk-UA"/>
              </w:rPr>
              <w:t xml:space="preserve">Плановані </w:t>
              <w:br/>
              <w:t xml:space="preserve"> тарифи</w:t>
            </w:r>
          </w:p>
          <w:p>
            <w:pPr>
              <w:pStyle w:val="Style13"/>
              <w:spacing w:before="0" w:after="140"/>
              <w:rPr>
                <w:rFonts w:ascii="Arial" w:hAnsi="Arial"/>
                <w:sz w:val="24"/>
                <w:szCs w:val="24"/>
                <w:lang w:val="uk-UA" w:eastAsia="uk-UA"/>
              </w:rPr>
            </w:pPr>
            <w:r>
              <w:rPr>
                <w:rFonts w:ascii="Arial" w:hAnsi="Arial"/>
                <w:sz w:val="24"/>
                <w:szCs w:val="24"/>
                <w:lang w:val="uk-UA" w:eastAsia="uk-UA"/>
              </w:rPr>
              <w:t>на 201</w:t>
            </w:r>
            <w:r>
              <w:rPr>
                <w:rFonts w:ascii="Arial" w:hAnsi="Arial"/>
                <w:sz w:val="24"/>
                <w:szCs w:val="24"/>
                <w:lang w:val="uk-UA" w:eastAsia="uk-UA"/>
              </w:rPr>
              <w:t>9</w:t>
            </w:r>
            <w:r>
              <w:rPr>
                <w:rFonts w:ascii="Arial" w:hAnsi="Arial"/>
                <w:sz w:val="24"/>
                <w:szCs w:val="24"/>
                <w:lang w:val="uk-UA" w:eastAsia="uk-UA"/>
              </w:rPr>
              <w:t xml:space="preserve"> рік,</w:t>
              <w:br/>
              <w:t>рн./м³ без ПДВ</w:t>
            </w:r>
          </w:p>
        </w:tc>
        <w:tc>
          <w:tcPr>
            <w:tcW w:w="2413"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Відхилення планованих тарифів від діючих</w:t>
            </w:r>
          </w:p>
        </w:tc>
      </w:tr>
      <w:tr>
        <w:trPr>
          <w:trHeight w:val="394" w:hRule="atLeast"/>
          <w:cantSplit w:val="false"/>
        </w:trPr>
        <w:tc>
          <w:tcPr>
            <w:tcW w:w="478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Style13"/>
              <w:spacing w:before="0" w:after="140"/>
              <w:rPr>
                <w:rFonts w:ascii="Arial" w:hAnsi="Arial"/>
                <w:sz w:val="24"/>
                <w:szCs w:val="24"/>
                <w:lang w:val="uk-UA"/>
              </w:rPr>
            </w:pPr>
            <w:r>
              <w:rPr>
                <w:rFonts w:ascii="Arial" w:hAnsi="Arial"/>
                <w:sz w:val="24"/>
                <w:szCs w:val="24"/>
                <w:lang w:val="uk-UA"/>
              </w:rPr>
            </w:r>
          </w:p>
        </w:tc>
        <w:tc>
          <w:tcPr>
            <w:tcW w:w="113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Style13"/>
              <w:spacing w:before="0" w:after="140"/>
              <w:rPr>
                <w:rFonts w:ascii="Arial" w:hAnsi="Arial"/>
                <w:sz w:val="24"/>
                <w:szCs w:val="24"/>
                <w:lang w:val="uk-UA"/>
              </w:rPr>
            </w:pPr>
            <w:r>
              <w:rPr>
                <w:rFonts w:ascii="Arial" w:hAnsi="Arial"/>
                <w:sz w:val="24"/>
                <w:szCs w:val="24"/>
                <w:lang w:val="uk-UA"/>
              </w:rPr>
            </w:r>
          </w:p>
        </w:tc>
        <w:tc>
          <w:tcPr>
            <w:tcW w:w="141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Style13"/>
              <w:spacing w:before="0" w:after="140"/>
              <w:rPr>
                <w:rFonts w:ascii="Arial" w:hAnsi="Arial"/>
                <w:sz w:val="24"/>
                <w:szCs w:val="24"/>
                <w:lang w:val="uk-UA"/>
              </w:rPr>
            </w:pPr>
            <w:r>
              <w:rPr>
                <w:rFonts w:ascii="Arial" w:hAnsi="Arial"/>
                <w:sz w:val="24"/>
                <w:szCs w:val="24"/>
                <w:lang w:val="uk-UA"/>
              </w:rPr>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рн./м³</w:t>
            </w:r>
          </w:p>
        </w:tc>
        <w:tc>
          <w:tcPr>
            <w:tcW w:w="997" w:type="dxa"/>
            <w:tcBorders>
              <w:top w:val="nil"/>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w:t>
            </w:r>
          </w:p>
        </w:tc>
      </w:tr>
      <w:tr>
        <w:trPr>
          <w:trHeight w:val="764" w:hRule="atLeast"/>
          <w:cantSplit w:val="false"/>
        </w:trPr>
        <w:tc>
          <w:tcPr>
            <w:tcW w:w="478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Централізоване водопостачання</w:t>
            </w:r>
          </w:p>
        </w:tc>
        <w:tc>
          <w:tcPr>
            <w:tcW w:w="113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10,42</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16,54</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6,12</w:t>
            </w:r>
          </w:p>
        </w:tc>
        <w:tc>
          <w:tcPr>
            <w:tcW w:w="99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59%</w:t>
            </w:r>
          </w:p>
        </w:tc>
      </w:tr>
      <w:tr>
        <w:trPr>
          <w:trHeight w:val="764" w:hRule="atLeast"/>
          <w:cantSplit w:val="false"/>
        </w:trPr>
        <w:tc>
          <w:tcPr>
            <w:tcW w:w="478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Централізоване водовідведення</w:t>
            </w:r>
          </w:p>
        </w:tc>
        <w:tc>
          <w:tcPr>
            <w:tcW w:w="113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9,64</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14,55</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4,91</w:t>
            </w:r>
          </w:p>
        </w:tc>
        <w:tc>
          <w:tcPr>
            <w:tcW w:w="99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51%</w:t>
            </w:r>
          </w:p>
        </w:tc>
      </w:tr>
      <w:tr>
        <w:trPr>
          <w:trHeight w:val="764" w:hRule="atLeast"/>
          <w:cantSplit w:val="false"/>
        </w:trPr>
        <w:tc>
          <w:tcPr>
            <w:tcW w:w="478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Централізоване постачання холодної води</w:t>
              <w:br/>
              <w:t xml:space="preserve"> (з використанням внутрішньобудинкових систем)</w:t>
            </w:r>
          </w:p>
        </w:tc>
        <w:tc>
          <w:tcPr>
            <w:tcW w:w="113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10,84</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17,36</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6,52</w:t>
            </w:r>
          </w:p>
        </w:tc>
        <w:tc>
          <w:tcPr>
            <w:tcW w:w="99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60%</w:t>
            </w:r>
          </w:p>
        </w:tc>
      </w:tr>
      <w:tr>
        <w:trPr>
          <w:trHeight w:val="764" w:hRule="atLeast"/>
          <w:cantSplit w:val="false"/>
        </w:trPr>
        <w:tc>
          <w:tcPr>
            <w:tcW w:w="4784"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 xml:space="preserve">Централізоване водовідведення </w:t>
              <w:br/>
              <w:t>(з використанням внутрішньобудинкових систем)</w:t>
            </w:r>
          </w:p>
        </w:tc>
        <w:tc>
          <w:tcPr>
            <w:tcW w:w="113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10,03</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15,26</w:t>
            </w:r>
          </w:p>
        </w:tc>
        <w:tc>
          <w:tcPr>
            <w:tcW w:w="141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5,23</w:t>
            </w:r>
          </w:p>
        </w:tc>
        <w:tc>
          <w:tcPr>
            <w:tcW w:w="99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52%</w:t>
            </w:r>
          </w:p>
        </w:tc>
      </w:tr>
    </w:tbl>
    <w:p>
      <w:pPr>
        <w:pStyle w:val="Style13"/>
        <w:rPr>
          <w:rFonts w:ascii="Arial" w:hAnsi="Arial"/>
          <w:sz w:val="24"/>
          <w:szCs w:val="24"/>
          <w:lang w:val="uk-UA"/>
        </w:rPr>
      </w:pPr>
      <w:r>
        <w:rPr>
          <w:rFonts w:ascii="Arial" w:hAnsi="Arial"/>
          <w:sz w:val="24"/>
          <w:szCs w:val="24"/>
          <w:lang w:val="uk-UA"/>
        </w:rPr>
        <w:t>Діючі на сьогоднішній день тарифи розраховані відповідно до плану діяльності КП «Білгород-Дністровськводоканал» на 2018 рік. У зв’язку зі зростанням тарифів на електроенергію та вартості інших матеріальних ресурсів, підвищенням рівня мінімальної заробітної плати працівників підприємства, діючі тарифи на централізоване водопостачання та водовідведення не відшкодовують витрати на виробництво та надання послуг.</w:t>
      </w:r>
    </w:p>
    <w:p>
      <w:pPr>
        <w:pStyle w:val="Style13"/>
        <w:rPr>
          <w:rFonts w:ascii="Arial" w:hAnsi="Arial"/>
          <w:sz w:val="24"/>
          <w:szCs w:val="24"/>
          <w:lang w:val="uk-UA"/>
        </w:rPr>
      </w:pPr>
      <w:r>
        <w:rPr>
          <w:rFonts w:ascii="Arial" w:hAnsi="Arial"/>
          <w:sz w:val="24"/>
          <w:szCs w:val="24"/>
          <w:lang w:val="uk-UA"/>
        </w:rPr>
        <w:t>У таблиці наведені розміри діючих та планованих тарифів з нульовою рентабельн</w:t>
      </w:r>
      <w:r>
        <w:rPr>
          <w:rFonts w:ascii="Arial" w:hAnsi="Arial"/>
          <w:sz w:val="24"/>
          <w:szCs w:val="24"/>
          <w:lang w:val="uk-UA"/>
        </w:rPr>
        <w:t>і</w:t>
      </w:r>
      <w:r>
        <w:rPr>
          <w:rFonts w:ascii="Arial" w:hAnsi="Arial"/>
          <w:sz w:val="24"/>
          <w:szCs w:val="24"/>
          <w:lang w:val="uk-UA"/>
        </w:rPr>
        <w:t>стю для населення, але для бюджетних установ та юр</w:t>
      </w:r>
      <w:r>
        <w:rPr>
          <w:rFonts w:ascii="Arial" w:hAnsi="Arial"/>
          <w:sz w:val="24"/>
          <w:szCs w:val="24"/>
          <w:lang w:val="uk-UA"/>
        </w:rPr>
        <w:t>и</w:t>
      </w:r>
      <w:r>
        <w:rPr>
          <w:rFonts w:ascii="Arial" w:hAnsi="Arial"/>
          <w:sz w:val="24"/>
          <w:szCs w:val="24"/>
          <w:lang w:val="uk-UA"/>
        </w:rPr>
        <w:t>дичних осіб тариф складатиме враховуючи рентабельність 15</w:t>
      </w:r>
      <w:bookmarkStart w:id="1" w:name="_GoBack"/>
      <w:bookmarkEnd w:id="1"/>
      <w:r>
        <w:rPr>
          <w:rFonts w:ascii="Arial" w:hAnsi="Arial"/>
          <w:sz w:val="24"/>
          <w:szCs w:val="24"/>
          <w:lang w:val="uk-UA"/>
        </w:rPr>
        <w:t>%. Для інших споживачів тариф буде врахований з рентабельністю 20% . Розміри тарифів по таким категоріям споживачів буде вказаний у додатку 1.</w:t>
      </w:r>
    </w:p>
    <w:p>
      <w:pPr>
        <w:pStyle w:val="Style13"/>
        <w:rPr>
          <w:rFonts w:ascii="Arial" w:hAnsi="Arial"/>
          <w:sz w:val="24"/>
          <w:szCs w:val="24"/>
          <w:lang w:val="uk-UA"/>
        </w:rPr>
      </w:pPr>
      <w:r>
        <w:rPr>
          <w:rFonts w:ascii="Arial" w:hAnsi="Arial"/>
          <w:sz w:val="24"/>
          <w:szCs w:val="24"/>
          <w:lang w:val="uk-UA"/>
        </w:rPr>
        <w:t>З метою забезпечення стабільного та якісного виробництва та надання послуг з централізованого водопостачання та водовідведення виникла загальна потреба в перегляді діючих тарифів до економічно-обґрунтованого рівня.</w:t>
      </w:r>
    </w:p>
    <w:p>
      <w:pPr>
        <w:pStyle w:val="Style13"/>
        <w:rPr>
          <w:rFonts w:ascii="Arial" w:hAnsi="Arial"/>
          <w:sz w:val="24"/>
          <w:szCs w:val="24"/>
          <w:lang w:val="uk-UA"/>
        </w:rPr>
      </w:pPr>
      <w:r>
        <w:rPr>
          <w:rFonts w:ascii="Arial" w:hAnsi="Arial"/>
          <w:sz w:val="24"/>
          <w:szCs w:val="24"/>
          <w:lang w:val="uk-UA"/>
        </w:rPr>
        <w:t>Згідно з розрахунками КП «Білгород-Дністровськводоканал», що виконані відповідно до плану діяльності підприємства на 2019 рік, рівень тарифів повинен зрости в середньому на 55%. Складовими тарифів на централізоване водопостачання та водовідведення є:</w:t>
      </w:r>
    </w:p>
    <w:tbl>
      <w:tblPr>
        <w:jc w:val="left"/>
        <w:tblInd w:w="8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5636"/>
        <w:gridCol w:w="2032"/>
        <w:gridCol w:w="1986"/>
      </w:tblGrid>
      <w:tr>
        <w:trPr>
          <w:trHeight w:val="945" w:hRule="atLeast"/>
          <w:cantSplit w:val="false"/>
        </w:trPr>
        <w:tc>
          <w:tcPr>
            <w:tcW w:w="563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Плановані витрати за елементами</w:t>
            </w:r>
          </w:p>
        </w:tc>
        <w:tc>
          <w:tcPr>
            <w:tcW w:w="2032"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Централізоване водопостачання,</w:t>
              <w:br/>
              <w:t>рн./м³ без ПДВ</w:t>
            </w:r>
          </w:p>
        </w:tc>
        <w:tc>
          <w:tcPr>
            <w:tcW w:w="198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Централізоване водовідведення,</w:t>
              <w:br/>
              <w:t>рн./м³ без ПДВ</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Електроенергія</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4,94</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3,39</w:t>
            </w:r>
          </w:p>
        </w:tc>
      </w:tr>
      <w:tr>
        <w:trPr>
          <w:trHeight w:val="40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Реагенти</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0,54</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0,01</w:t>
            </w:r>
          </w:p>
        </w:tc>
      </w:tr>
      <w:tr>
        <w:trPr>
          <w:trHeight w:val="94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Ремонти (матеріали на ППР, ремонти підрядним способом, ремонт машин та механізмів, персональних комп’ютерів і оргтехніки)</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0,44</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0,23</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Витрати на оплату праці</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6,37</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7,66</w:t>
            </w:r>
          </w:p>
        </w:tc>
      </w:tr>
      <w:tr>
        <w:trPr>
          <w:trHeight w:val="630"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Єдиний внесок на загальнообов’язкове державне соціальне страхування працівників</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1,40</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1,68</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Амортизаційні відрахування</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0,36</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0,32</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xml:space="preserve">Паливно-мастильні матеріали </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0,68</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0,69</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Податки</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1,34</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0,19</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Послуги банку за збір коштів від населення</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0,16</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0,07</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Інші витрати</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0,31</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0,31</w:t>
            </w:r>
          </w:p>
        </w:tc>
      </w:tr>
      <w:tr>
        <w:trPr>
          <w:trHeight w:val="315" w:hRule="atLeast"/>
          <w:cantSplit w:val="false"/>
        </w:trPr>
        <w:tc>
          <w:tcPr>
            <w:tcW w:w="563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Середньозважений тариф без ПДВ</w:t>
            </w:r>
          </w:p>
        </w:tc>
        <w:tc>
          <w:tcPr>
            <w:tcW w:w="2032"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16,54</w:t>
            </w:r>
          </w:p>
        </w:tc>
        <w:tc>
          <w:tcPr>
            <w:tcW w:w="1986"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14,55</w:t>
            </w:r>
          </w:p>
        </w:tc>
      </w:tr>
    </w:tbl>
    <w:p>
      <w:pPr>
        <w:pStyle w:val="Style13"/>
        <w:rPr>
          <w:rFonts w:ascii="Arial" w:hAnsi="Arial"/>
          <w:sz w:val="24"/>
          <w:szCs w:val="24"/>
          <w:lang w:val="uk-UA"/>
        </w:rPr>
      </w:pPr>
      <w:r>
        <w:rPr>
          <w:rFonts w:ascii="Arial" w:hAnsi="Arial"/>
          <w:sz w:val="24"/>
          <w:szCs w:val="24"/>
          <w:lang w:val="uk-UA"/>
        </w:rPr>
        <w:t>У порівнянні з діючим на сьогодні тарифом, у планованому тарифі на 2019 рік загальні витрати по централізованому водопостачанню та водовідведенню зросли на 16,4 млн. грн. Зміни відбулися по таким основним складовим витрат:</w:t>
      </w:r>
    </w:p>
    <w:p>
      <w:pPr>
        <w:pStyle w:val="Style13"/>
        <w:numPr>
          <w:ilvl w:val="0"/>
          <w:numId w:val="1"/>
        </w:numPr>
        <w:rPr>
          <w:rFonts w:ascii="Arial" w:hAnsi="Arial"/>
          <w:sz w:val="24"/>
          <w:szCs w:val="24"/>
          <w:lang w:val="uk-UA"/>
        </w:rPr>
      </w:pPr>
      <w:r>
        <w:rPr>
          <w:rFonts w:ascii="Arial" w:hAnsi="Arial"/>
          <w:sz w:val="24"/>
          <w:szCs w:val="24"/>
          <w:lang w:val="uk-UA"/>
        </w:rPr>
        <w:t>витрати на електроенергію зросли на 3,8 млн. грн. або на 47% порівняно з витратами, що враховані у діючих тарифах, що спричинено ростом тарифів на електричну енергію (з 191,672 до 282,053коп./кВт·год без ПДВ);</w:t>
      </w:r>
    </w:p>
    <w:p>
      <w:pPr>
        <w:pStyle w:val="Style13"/>
        <w:numPr>
          <w:ilvl w:val="0"/>
          <w:numId w:val="1"/>
        </w:numPr>
        <w:rPr>
          <w:rFonts w:ascii="Arial" w:hAnsi="Arial"/>
          <w:sz w:val="24"/>
          <w:szCs w:val="24"/>
          <w:lang w:val="uk-UA"/>
        </w:rPr>
      </w:pPr>
      <w:r>
        <w:rPr>
          <w:rFonts w:ascii="Arial" w:hAnsi="Arial"/>
          <w:sz w:val="24"/>
          <w:szCs w:val="24"/>
          <w:lang w:val="uk-UA"/>
        </w:rPr>
        <w:t>витрати на реагенти зросли на 62,1 тис.грн, або на 19,3% (ціна на гіпохлорит натрію зросла з 7 684,00 до 18 750,00 грн/тонн без ПДВ, або на 244%);</w:t>
      </w:r>
    </w:p>
    <w:p>
      <w:pPr>
        <w:pStyle w:val="Style13"/>
        <w:numPr>
          <w:ilvl w:val="0"/>
          <w:numId w:val="1"/>
        </w:numPr>
        <w:rPr>
          <w:rFonts w:ascii="Arial" w:hAnsi="Arial"/>
          <w:sz w:val="24"/>
          <w:szCs w:val="24"/>
          <w:lang w:val="uk-UA"/>
        </w:rPr>
      </w:pPr>
      <w:r>
        <w:rPr>
          <w:rFonts w:ascii="Arial" w:hAnsi="Arial"/>
          <w:sz w:val="24"/>
          <w:szCs w:val="24"/>
          <w:lang w:val="uk-UA"/>
        </w:rPr>
        <w:t xml:space="preserve">витрати на ремонти зросли на 0,2 млн. грн., або на 26%, у зв’язку із ростом цін на матеріали для ремонтів та послуг ремонтних підрядних організацій (у планованих тарифах витрати на ремонти враховано рівні фактичних значень за 2018 рік.); </w:t>
      </w:r>
    </w:p>
    <w:p>
      <w:pPr>
        <w:pStyle w:val="Style13"/>
        <w:numPr>
          <w:ilvl w:val="0"/>
          <w:numId w:val="1"/>
        </w:numPr>
        <w:rPr>
          <w:rFonts w:ascii="Arial" w:hAnsi="Arial"/>
          <w:sz w:val="24"/>
          <w:szCs w:val="24"/>
          <w:lang w:val="uk-UA"/>
        </w:rPr>
      </w:pPr>
      <w:r>
        <w:rPr>
          <w:rFonts w:ascii="Arial" w:hAnsi="Arial"/>
          <w:sz w:val="24"/>
          <w:szCs w:val="24"/>
          <w:lang w:val="uk-UA"/>
        </w:rPr>
        <w:t>витрати на оплату праці зросли на 7,8 млн.грн, або на 61% порівняно з витратами, що враховані у діючих тарифах. В наслідок застосування рівня прожиткового мінімуму в розмірі 1921,0 грн, який буде встановлено з 01.01.2019 р. відповідно до Закону України «Про Державний бюджет України на 2019 рік» (у діючих тарифах застосований рівень прожиткового мінімуму складає 1762,0 грн);</w:t>
      </w:r>
    </w:p>
    <w:p>
      <w:pPr>
        <w:pStyle w:val="Style13"/>
        <w:numPr>
          <w:ilvl w:val="0"/>
          <w:numId w:val="1"/>
        </w:numPr>
        <w:rPr>
          <w:rFonts w:ascii="Arial" w:hAnsi="Arial"/>
          <w:sz w:val="24"/>
          <w:szCs w:val="24"/>
          <w:lang w:val="uk-UA"/>
        </w:rPr>
      </w:pPr>
      <w:r>
        <w:rPr>
          <w:rFonts w:ascii="Arial" w:hAnsi="Arial"/>
          <w:sz w:val="24"/>
          <w:szCs w:val="24"/>
          <w:lang w:val="uk-UA"/>
        </w:rPr>
        <w:t>відрахування на соціальні заходи збільшились на 1,7 млн.грн,  у зв’язку зі змінами рівня мінімальної заробітної плати ставки внеску на загальнообов’язкове державне соціальне страхування (ЄСВ) 22%;</w:t>
      </w:r>
    </w:p>
    <w:p>
      <w:pPr>
        <w:pStyle w:val="Style13"/>
        <w:numPr>
          <w:ilvl w:val="0"/>
          <w:numId w:val="1"/>
        </w:numPr>
        <w:rPr>
          <w:rFonts w:ascii="Arial" w:hAnsi="Arial"/>
          <w:sz w:val="24"/>
          <w:szCs w:val="24"/>
          <w:lang w:val="uk-UA"/>
        </w:rPr>
      </w:pPr>
      <w:r>
        <w:rPr>
          <w:rFonts w:ascii="Arial" w:hAnsi="Arial"/>
          <w:sz w:val="24"/>
          <w:szCs w:val="24"/>
          <w:lang w:val="uk-UA"/>
        </w:rPr>
        <w:t>амортизаційні відрахування  залишились на рівні, який закладений у попередній тариф;</w:t>
      </w:r>
    </w:p>
    <w:p>
      <w:pPr>
        <w:pStyle w:val="Style13"/>
        <w:numPr>
          <w:ilvl w:val="0"/>
          <w:numId w:val="1"/>
        </w:numPr>
        <w:rPr>
          <w:rFonts w:ascii="Arial" w:hAnsi="Arial"/>
          <w:sz w:val="24"/>
          <w:szCs w:val="24"/>
          <w:lang w:val="uk-UA"/>
        </w:rPr>
      </w:pPr>
      <w:r>
        <w:rPr>
          <w:rFonts w:ascii="Arial" w:hAnsi="Arial"/>
          <w:sz w:val="24"/>
          <w:szCs w:val="24"/>
          <w:lang w:val="uk-UA"/>
        </w:rPr>
        <w:t>витрати на паливно-мастильні матеріали зросли на 0,3 млн.грн., або на 38% порівняно з витратами, що враховані у діючих тарифах, у зв’язку зі збільшенням цін на паливно-мастильні матеріали;</w:t>
      </w:r>
    </w:p>
    <w:p>
      <w:pPr>
        <w:pStyle w:val="Style13"/>
        <w:numPr>
          <w:ilvl w:val="0"/>
          <w:numId w:val="1"/>
        </w:numPr>
        <w:rPr>
          <w:rFonts w:ascii="Arial" w:hAnsi="Arial"/>
          <w:sz w:val="24"/>
          <w:szCs w:val="24"/>
          <w:lang w:val="uk-UA"/>
        </w:rPr>
      </w:pPr>
      <w:r>
        <w:rPr>
          <w:rFonts w:ascii="Arial" w:hAnsi="Arial"/>
          <w:sz w:val="24"/>
          <w:szCs w:val="24"/>
          <w:lang w:val="uk-UA"/>
        </w:rPr>
        <w:t>витрати на сплату податків зросли на 1,1 млн.грн, або на 81,1% порівняно з витратами, що враховані у діючих тарифах, у зв’язку зі збільшенням ставки рентної плати з 87,2 до 101,8; згідно Податкового кодексу п. 255.5.2 бази оподаткування: рентна плата за спеціальне використання води. Згідно зі змінами у Податковому кодексі, які набрали чинності з 01.01.2018 р., розраховано на обсяги водокористування, включаючи обсяги реалізовані споживачам, які використовують питну воду у виробничих цілях; рентна плата за користування надрами залежить від прогнозної вартості послуг з водопостачання;</w:t>
      </w:r>
    </w:p>
    <w:p>
      <w:pPr>
        <w:pStyle w:val="Style13"/>
        <w:numPr>
          <w:ilvl w:val="0"/>
          <w:numId w:val="1"/>
        </w:numPr>
        <w:rPr>
          <w:rFonts w:ascii="Arial" w:hAnsi="Arial"/>
          <w:sz w:val="24"/>
          <w:szCs w:val="24"/>
          <w:lang w:val="uk-UA"/>
        </w:rPr>
      </w:pPr>
      <w:r>
        <w:rPr>
          <w:rFonts w:ascii="Arial" w:hAnsi="Arial"/>
          <w:sz w:val="24"/>
          <w:szCs w:val="24"/>
          <w:lang w:val="uk-UA"/>
        </w:rPr>
        <w:t>витрати на послуги банку за збір коштів від населення на 0,3 млн.грн через збільшення планових надходжень за надані послуги.</w:t>
      </w:r>
    </w:p>
    <w:p>
      <w:pPr>
        <w:pStyle w:val="Style13"/>
        <w:rPr>
          <w:rFonts w:ascii="Arial" w:hAnsi="Arial"/>
          <w:sz w:val="24"/>
          <w:szCs w:val="24"/>
          <w:lang w:val="uk-UA"/>
        </w:rPr>
      </w:pPr>
      <w:r>
        <w:rPr>
          <w:rFonts w:ascii="Arial" w:hAnsi="Arial"/>
          <w:sz w:val="24"/>
          <w:szCs w:val="24"/>
          <w:lang w:val="uk-UA"/>
        </w:rPr>
        <w:t>У зв’язку з планованою на 2019 рік зміною тарифів на централізоване водопостачання та водовідведення, виникла необхідність і у зміні тарифів на послуги з централізованого постачання холодної води, водовідведення (з використанням внутрішньобудинкових систем), які встановлені рішенням Білгород-Дністровської міської ради  від 21.03.2018 р. № 124, так як витрати на придбання питної води із системи централізованого водопостачання та витрати на оплату послуг за скид стічних вод у систему централізованого водовідведення є основною частиною складових витрат тарифів.</w:t>
      </w:r>
    </w:p>
    <w:p>
      <w:pPr>
        <w:pStyle w:val="Style13"/>
        <w:rPr>
          <w:rFonts w:ascii="Arial" w:hAnsi="Arial"/>
          <w:sz w:val="24"/>
          <w:szCs w:val="24"/>
          <w:lang w:val="uk-UA"/>
        </w:rPr>
      </w:pPr>
      <w:r>
        <w:rPr>
          <w:rFonts w:ascii="Arial" w:hAnsi="Arial"/>
          <w:sz w:val="24"/>
          <w:szCs w:val="24"/>
          <w:lang w:val="uk-UA"/>
        </w:rPr>
        <w:t>Складовими тарифів на послуги з централізованого постачання холодної води та централізованого водовідведення  (з використанням внутрішньобудинкових систем) є:</w:t>
      </w:r>
    </w:p>
    <w:p>
      <w:pPr>
        <w:pStyle w:val="Style13"/>
        <w:rPr>
          <w:rFonts w:ascii="Arial" w:hAnsi="Arial"/>
          <w:sz w:val="24"/>
          <w:szCs w:val="24"/>
          <w:lang w:val="uk-UA"/>
        </w:rPr>
      </w:pPr>
      <w:r>
        <w:rPr>
          <w:rFonts w:ascii="Arial" w:hAnsi="Arial"/>
          <w:sz w:val="24"/>
          <w:szCs w:val="24"/>
          <w:lang w:val="uk-UA"/>
        </w:rPr>
      </w:r>
    </w:p>
    <w:tbl>
      <w:tblPr>
        <w:jc w:val="left"/>
        <w:tblInd w:w="8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5683"/>
        <w:gridCol w:w="1984"/>
        <w:gridCol w:w="1987"/>
      </w:tblGrid>
      <w:tr>
        <w:trPr>
          <w:trHeight w:val="1575" w:hRule="atLeast"/>
          <w:cantSplit w:val="false"/>
        </w:trPr>
        <w:tc>
          <w:tcPr>
            <w:tcW w:w="568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98" w:type="dxa"/>
            </w:tcMar>
            <w:vAlign w:val="center"/>
          </w:tcPr>
          <w:p>
            <w:pPr>
              <w:pStyle w:val="Style13"/>
              <w:spacing w:before="0" w:after="140"/>
              <w:rPr>
                <w:rFonts w:ascii="Arial" w:hAnsi="Arial"/>
                <w:sz w:val="24"/>
                <w:szCs w:val="24"/>
                <w:lang w:val="uk-UA" w:eastAsia="uk-UA"/>
              </w:rPr>
            </w:pPr>
            <w:r>
              <w:rPr>
                <w:rFonts w:ascii="Arial" w:hAnsi="Arial"/>
                <w:sz w:val="24"/>
                <w:szCs w:val="24"/>
                <w:lang w:val="uk-UA" w:eastAsia="uk-UA"/>
              </w:rPr>
              <w:t>Плановані витрати за елементами</w:t>
            </w:r>
          </w:p>
        </w:tc>
        <w:tc>
          <w:tcPr>
            <w:tcW w:w="198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 xml:space="preserve">Централізоване постачання холодної води </w:t>
              <w:br/>
              <w:t>(з ВВБС),</w:t>
              <w:br/>
              <w:t>рн./м³ без ПДВ</w:t>
            </w:r>
          </w:p>
        </w:tc>
        <w:tc>
          <w:tcPr>
            <w:tcW w:w="198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Style13"/>
              <w:spacing w:before="0" w:after="140"/>
              <w:rPr>
                <w:rFonts w:ascii="Arial" w:hAnsi="Arial"/>
                <w:sz w:val="24"/>
                <w:szCs w:val="24"/>
                <w:lang w:val="uk-UA" w:eastAsia="uk-UA"/>
              </w:rPr>
            </w:pPr>
            <w:r>
              <w:rPr>
                <w:rFonts w:ascii="Arial" w:hAnsi="Arial"/>
                <w:sz w:val="24"/>
                <w:szCs w:val="24"/>
                <w:lang w:val="uk-UA" w:eastAsia="uk-UA"/>
              </w:rPr>
              <w:t xml:space="preserve">Централізоване водовідведення </w:t>
              <w:br/>
              <w:t>(з ВВБС),</w:t>
              <w:br/>
              <w:t>рн./м³ без ПДВ</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 Виробнича собівартість:</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16,54</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14,55</w:t>
            </w:r>
          </w:p>
        </w:tc>
      </w:tr>
      <w:tr>
        <w:trPr>
          <w:trHeight w:val="630"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витрати на придбання питної води із системи централізованого водопостачання</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16,54</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w:t>
            </w:r>
          </w:p>
        </w:tc>
      </w:tr>
      <w:tr>
        <w:trPr>
          <w:trHeight w:val="630"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витрати на оплату за скид стічних вод у систему централізованого водовідведення</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w:t>
            </w:r>
            <w:r>
              <w:rPr>
                <w:rFonts w:ascii="Arial" w:hAnsi="Arial"/>
                <w:sz w:val="24"/>
                <w:szCs w:val="24"/>
                <w:lang w:val="uk-UA" w:eastAsia="uk-UA"/>
              </w:rPr>
              <w:t>-</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14,55</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2. Витрати на збут послуг:</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0,82</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0,71</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витрати на оплату праці</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0,45</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0,39</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відрахування на соціальні заходи</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0,10</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0,09</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послуги банку за збір коштів від населення</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0,25</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0,22</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 інші витрати</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0,02</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0,01</w:t>
            </w:r>
          </w:p>
        </w:tc>
      </w:tr>
      <w:tr>
        <w:trPr>
          <w:trHeight w:val="315" w:hRule="atLeast"/>
          <w:cantSplit w:val="false"/>
        </w:trPr>
        <w:tc>
          <w:tcPr>
            <w:tcW w:w="5683"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Тариф на послуги (без ПДВ)</w:t>
            </w:r>
          </w:p>
        </w:tc>
        <w:tc>
          <w:tcPr>
            <w:tcW w:w="198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17,36</w:t>
            </w:r>
          </w:p>
        </w:tc>
        <w:tc>
          <w:tcPr>
            <w:tcW w:w="1987"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bottom"/>
          </w:tcPr>
          <w:p>
            <w:pPr>
              <w:pStyle w:val="Style13"/>
              <w:spacing w:before="0" w:after="140"/>
              <w:rPr>
                <w:rFonts w:ascii="Arial" w:hAnsi="Arial"/>
                <w:sz w:val="24"/>
                <w:szCs w:val="24"/>
                <w:lang w:val="uk-UA" w:eastAsia="uk-UA"/>
              </w:rPr>
            </w:pPr>
            <w:r>
              <w:rPr>
                <w:rFonts w:ascii="Arial" w:hAnsi="Arial"/>
                <w:sz w:val="24"/>
                <w:szCs w:val="24"/>
                <w:lang w:val="uk-UA" w:eastAsia="uk-UA"/>
              </w:rPr>
              <w:t>15,26</w:t>
            </w:r>
          </w:p>
        </w:tc>
      </w:tr>
    </w:tbl>
    <w:p>
      <w:pPr>
        <w:pStyle w:val="Style13"/>
        <w:rPr>
          <w:rFonts w:ascii="Arial" w:hAnsi="Arial"/>
          <w:sz w:val="24"/>
          <w:szCs w:val="24"/>
          <w:lang w:val="uk-UA"/>
        </w:rPr>
      </w:pPr>
      <w:r>
        <w:rPr>
          <w:rFonts w:ascii="Arial" w:hAnsi="Arial"/>
          <w:sz w:val="24"/>
          <w:szCs w:val="24"/>
          <w:lang w:val="uk-UA"/>
        </w:rPr>
        <w:t xml:space="preserve">Витрати, що безпосередньо пов’язані з наданням послуг з централізованого постачання холодної води та водовідведення (з використанням внутрішньобудинкових мереж), збільшились порівняно з діючими тарифами на 0,2 млн.грн у зв’язку з набранням чинності Закону України «Про комерційний облік теплової енергії та водопостачання» та необхідністю виключення витрат, пов’язаних з повіркою, обслуговуванням та ремонтом засобів обліку води, що є власністю населення. </w:t>
      </w:r>
    </w:p>
    <w:p>
      <w:pPr>
        <w:pStyle w:val="Style13"/>
        <w:rPr>
          <w:rFonts w:ascii="Arial" w:hAnsi="Arial"/>
          <w:sz w:val="24"/>
          <w:szCs w:val="24"/>
          <w:lang w:val="uk-UA"/>
        </w:rPr>
      </w:pPr>
      <w:r>
        <w:rPr>
          <w:rFonts w:ascii="Arial" w:hAnsi="Arial"/>
          <w:sz w:val="24"/>
          <w:szCs w:val="24"/>
          <w:lang w:val="uk-UA"/>
        </w:rPr>
        <w:t>Внаслідок невідповідності рівня діючих тарифів фактичним витратам на виробництво та надавання послуг, підприємство відчуває нестачу власних обігових коштів, отриманих від реалізації наданих послуг, у результаті чого зростає заборгованість за енергоносії,відсутня можливість своєчасно розраховуватись по податкам і зборам. Така ситуація ставить під загрозу стабільність водопостачання міста, забезпечення належного рівня відведення та очистки стоків і може спричинити припинення надання послуг з централізованого водопостачання та водовідведення споживачам через відключення підприємства від джерел електропостачання за борги, спричинить заборгованість з виплати заробітної плати працівникам та інші непередбачувані соціальні наслідки.</w:t>
      </w:r>
    </w:p>
    <w:p>
      <w:pPr>
        <w:pStyle w:val="Style13"/>
        <w:rPr>
          <w:rFonts w:ascii="Arial" w:hAnsi="Arial"/>
          <w:sz w:val="24"/>
          <w:szCs w:val="24"/>
          <w:lang w:val="uk-UA"/>
        </w:rPr>
      </w:pPr>
      <w:r>
        <w:rPr>
          <w:rFonts w:ascii="Arial" w:hAnsi="Arial"/>
          <w:sz w:val="24"/>
          <w:szCs w:val="24"/>
          <w:lang w:val="uk-UA"/>
        </w:rPr>
        <w:t xml:space="preserve">Пропозиції та зауваження надавати до КП “Білгород-Дністровськводоканал”” на поштову адресу: пров. Водопровідний,1, тел. 3-50-21, або електронною поштою </w:t>
      </w:r>
      <w:hyperlink r:id="rId2">
        <w:r>
          <w:rPr>
            <w:rStyle w:val="Style11"/>
            <w:rFonts w:ascii="Arial" w:hAnsi="Arial"/>
            <w:sz w:val="24"/>
            <w:szCs w:val="24"/>
            <w:lang w:val="uk-UA"/>
          </w:rPr>
          <w:t>vodokanal-b-d@ukr.net</w:t>
        </w:r>
      </w:hyperlink>
      <w:r>
        <w:rPr>
          <w:rFonts w:ascii="Arial" w:hAnsi="Arial"/>
          <w:sz w:val="24"/>
          <w:szCs w:val="24"/>
          <w:lang w:val="uk-UA"/>
        </w:rPr>
        <w:t>.</w:t>
      </w:r>
    </w:p>
    <w:p>
      <w:pPr>
        <w:pStyle w:val="Style13"/>
        <w:rPr>
          <w:rFonts w:ascii="Arial" w:hAnsi="Arial"/>
          <w:sz w:val="24"/>
          <w:szCs w:val="24"/>
          <w:lang w:val="uk-UA"/>
        </w:rPr>
      </w:pPr>
      <w:r>
        <w:rPr>
          <w:rFonts w:ascii="Arial" w:hAnsi="Arial"/>
          <w:sz w:val="24"/>
          <w:szCs w:val="24"/>
          <w:lang w:val="uk-UA"/>
        </w:rPr>
        <w:t>Термін, протягом якого від споживачів послуг приймаються зауваження та пропозиції, становить 15 календарних днів з дня офіційного оприлюднення про намір здійснити зміну тарифу.</w:t>
      </w:r>
    </w:p>
    <w:p>
      <w:pPr>
        <w:pStyle w:val="Style13"/>
        <w:spacing w:before="0" w:after="140"/>
        <w:rPr>
          <w:rFonts w:ascii="Arial" w:hAnsi="Arial"/>
          <w:sz w:val="24"/>
          <w:szCs w:val="24"/>
          <w:lang w:val="uk-UA" w:eastAsia="ru-RU"/>
        </w:rPr>
      </w:pPr>
      <w:r>
        <w:rPr>
          <w:rFonts w:ascii="Arial" w:hAnsi="Arial"/>
          <w:sz w:val="24"/>
          <w:szCs w:val="24"/>
          <w:lang w:val="uk-UA" w:eastAsia="ru-RU"/>
        </w:rPr>
        <w:t>Адміністрація КП «Білгород-Дністровськводоканал»</w:t>
      </w:r>
    </w:p>
    <w:sectPr>
      <w:type w:val="nextPage"/>
      <w:pgSz w:w="11906" w:h="16838"/>
      <w:pgMar w:left="1701" w:right="567" w:header="0" w:top="567" w:footer="0" w:bottom="51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uk-UA" w:eastAsia="en-US" w:bidi="ar-SA"/>
      </w:rPr>
    </w:rPrDefault>
    <w:pPrDefault>
      <w:pPr>
        <w:spacing w:lineRule="auto" w:line="276"/>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e16fb4"/>
    <w:pPr>
      <w:widowControl/>
      <w:suppressAutoHyphens w:val="true"/>
      <w:bidi w:val="0"/>
      <w:spacing w:lineRule="auto" w:line="276" w:before="0" w:after="200"/>
      <w:jc w:val="left"/>
    </w:pPr>
    <w:rPr>
      <w:rFonts w:ascii="Calibri" w:hAnsi="Calibri" w:eastAsia="Droid Sans Fallback" w:cs="Calibri"/>
      <w:color w:val="00000A"/>
      <w:sz w:val="22"/>
      <w:szCs w:val="22"/>
      <w:lang w:eastAsia="en-US" w:bidi="ar-SA" w:val="uk-U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Calibri"/>
    </w:rPr>
  </w:style>
  <w:style w:type="character" w:styleId="Style11">
    <w:name w:val="Интернет-ссылка"/>
    <w:rPr>
      <w:color w:val="000080"/>
      <w:u w:val="single"/>
      <w:lang w:eastAsia="zxx" w:bidi="zxx"/>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Times New Roman"/>
    </w:rPr>
  </w:style>
  <w:style w:type="paragraph" w:styleId="Style12">
    <w:name w:val="Заголовок"/>
    <w:basedOn w:val="Normal"/>
    <w:next w:val="Style13"/>
    <w:pPr>
      <w:keepNext/>
      <w:spacing w:before="240" w:after="120"/>
    </w:pPr>
    <w:rPr>
      <w:rFonts w:ascii="Liberation Sans" w:hAnsi="Liberation Sans" w:eastAsia="Droid Sans Fallback"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basedOn w:val="Normal"/>
    <w:pPr>
      <w:suppressLineNumbers/>
      <w:spacing w:before="120" w:after="120"/>
    </w:pPr>
    <w:rPr>
      <w:rFonts w:cs="FreeSans"/>
      <w:i/>
      <w:iCs/>
      <w:sz w:val="24"/>
      <w:szCs w:val="24"/>
    </w:rPr>
  </w:style>
  <w:style w:type="paragraph" w:styleId="Style16">
    <w:name w:val="Указатель"/>
    <w:basedOn w:val="Normal"/>
    <w:pPr>
      <w:suppressLineNumbers/>
    </w:pPr>
    <w:rPr>
      <w:rFonts w:cs="FreeSans"/>
    </w:rPr>
  </w:style>
  <w:style w:type="paragraph" w:styleId="ListParagraph">
    <w:name w:val="List Paragraph"/>
    <w:uiPriority w:val="34"/>
    <w:qFormat/>
    <w:rsid w:val="00335ae0"/>
    <w:basedOn w:val="Normal"/>
    <w:pPr>
      <w:spacing w:before="0" w:after="200"/>
      <w:ind w:left="720" w:right="0" w:hanging="0"/>
      <w:contextualSpacing/>
    </w:pPr>
    <w:rPr/>
  </w:style>
  <w:style w:type="paragraph" w:styleId="Style17" w:customStyle="1">
    <w:name w:val="Знак Знак Знак"/>
    <w:rsid w:val="003020d0"/>
    <w:basedOn w:val="Normal"/>
    <w:pPr>
      <w:spacing w:lineRule="auto" w:line="240" w:before="0" w:after="0"/>
    </w:pPr>
    <w:rPr>
      <w:rFonts w:ascii="Verdana" w:hAnsi="Verdana" w:eastAsia="Times New Roman" w:cs="Verdana"/>
      <w:sz w:val="20"/>
      <w:szCs w:val="20"/>
    </w:rPr>
  </w:style>
  <w:style w:type="paragraph" w:styleId="Style18">
    <w:name w:val="Цитата"/>
    <w:basedOn w:val="Normal"/>
    <w:pPr/>
    <w:rPr/>
  </w:style>
  <w:style w:type="paragraph" w:styleId="Style19">
    <w:name w:val="Заглавие"/>
    <w:basedOn w:val="Style12"/>
    <w:pPr/>
    <w:rPr/>
  </w:style>
  <w:style w:type="paragraph" w:styleId="Style20">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dokanal-b-d@ukr.n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5341-11C3-49F9-9824-0539FA68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2017-11-26T08:44:00Z</dcterms:created>
  <dc:creator>1</dc:creator>
  <dc:language>uk-UA</dc:language>
  <cp:lastModifiedBy>K111-1</cp:lastModifiedBy>
  <cp:lastPrinted>2019-01-04T08:09:00Z</cp:lastPrinted>
  <dcterms:modified xsi:type="dcterms:W3CDTF">2019-01-04T08:10:00Z</dcterms:modified>
  <cp:revision>96</cp:revision>
</cp:coreProperties>
</file>