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Проект інвестиційної програми КП «БДТЕ на 2019 рік”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Пояснювальна записка</w:t>
      </w:r>
    </w:p>
    <w:p>
      <w:pPr>
        <w:pStyle w:val="Normal"/>
        <w:spacing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Основними проблемними питаннями розвитку підприємства КП «БДТЕ» - залишається відсутність необхідних коштів на подальше виконання робіт по збільшенню енергоефективності при використання обладнання установленого на котельної вул. Перемоги, 2, яка забезпечує тепловою енергією 89% усіх споживачів міста підключених до системи централізованого опалення підприємства та заміна сталевих труб на попередньоізольовані пінополіуретаном, існуючих магістральних та розподільчих теплових мереж від котельної, які вже експлуатуються понад 30 років ( 36530 м в однотрубному вимірі, з них магістральних діаметром від 219мм до 530мм – 7281м, розподільчих діаметром від 32мм до 159мм -29249м.  Пропускна спроможність теплових мереж, при існуючому температурному графіку подачі теплоносія 95-70</w:t>
      </w:r>
      <w:r>
        <w:rPr>
          <w:rFonts w:cs="Times New Roman" w:ascii="Times New Roman" w:hAnsi="Times New Roman"/>
          <w:vertAlign w:val="superscript"/>
          <w:lang w:val="uk-UA"/>
        </w:rPr>
        <w:t>0</w:t>
      </w:r>
      <w:r>
        <w:rPr>
          <w:rFonts w:cs="Times New Roman" w:ascii="Times New Roman" w:hAnsi="Times New Roman"/>
          <w:lang w:val="uk-UA"/>
        </w:rPr>
        <w:t xml:space="preserve">С вже недостатня, для забезпечення потрібної кількості подачі носія в окремих точках приєднаних споживачів міста. </w:t>
      </w:r>
    </w:p>
    <w:p>
      <w:pPr>
        <w:pStyle w:val="Normal"/>
        <w:spacing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</w:t>
      </w:r>
      <w:r>
        <w:rPr>
          <w:rFonts w:cs="Times New Roman" w:ascii="Times New Roman" w:hAnsi="Times New Roman"/>
          <w:lang w:val="uk-UA"/>
        </w:rPr>
        <w:t xml:space="preserve">На даний час на котельної вул. Перемоги, 2 встановлено 6 котлів, з яких тільки один котел КВ-ГМ-30-150 №4, після проведеного у 2015-2017 р.р.  капітального ремонту з заміною колекторів та труб  конвективної та радіоційної частини котла та їх обмурівки може працювати надійно. Котли КВ-ГМ- 30-150 №5, №6 з часу монтажу відпрацювали понад 25 років (по паспортним даним термін експлуатації складає 20 років). Тому органами Держгірпромнагляду експлуатація даних котлів обмежена та дозволена: котел № 5 тільки до 20.04.2020 р., котел №6 до 20.04.2019 р. </w:t>
      </w:r>
    </w:p>
    <w:p>
      <w:pPr>
        <w:pStyle w:val="Normal"/>
        <w:spacing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</w:t>
      </w:r>
      <w:r>
        <w:rPr>
          <w:rFonts w:cs="Times New Roman" w:ascii="Times New Roman" w:hAnsi="Times New Roman"/>
          <w:lang w:val="uk-UA"/>
        </w:rPr>
        <w:t xml:space="preserve">В приміщені парової частини котельної вул. Перемоги, 2 встановлені 3 парових котла, які після встановлення обладнання для провадження на котельної хімічної деаерації мережної води замість термічної, законсервовані і не працюють 10 років (котел ДЕ 10-14 ГМ №1, №2, ДЕ 4-14 №3). Використання їх на даний час , для виробництва теплової енергії поки не можливе. </w:t>
      </w:r>
    </w:p>
    <w:p>
      <w:pPr>
        <w:pStyle w:val="Normal"/>
        <w:spacing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</w:t>
      </w:r>
      <w:r>
        <w:rPr>
          <w:rFonts w:cs="Times New Roman" w:ascii="Times New Roman" w:hAnsi="Times New Roman"/>
          <w:lang w:val="uk-UA"/>
        </w:rPr>
        <w:t xml:space="preserve">Розроблена Інвестиційна програма (ІП) КП «БДТЕ» на 2018 рік, була погоджена рішенням Виконавчого комітету Білгород-Дністровською міської ради та схвалена Одеською обласною державною адміністрацією, передбачала наступні заходи: </w:t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Додаток №1</w:t>
      </w:r>
    </w:p>
    <w:tbl>
      <w:tblPr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26"/>
        <w:gridCol w:w="1417"/>
        <w:gridCol w:w="1977"/>
        <w:gridCol w:w="1694"/>
        <w:gridCol w:w="1444"/>
      </w:tblGrid>
      <w:tr>
        <w:trPr>
          <w:trHeight w:val="558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п/п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Найменування заходу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Об’єм  фінансування, тис. грн. 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Кількісні показники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однотрубному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вимірі,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м.п.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Економія ПЕР,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т.у.п.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Економія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тис.грн./рік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 ПДВ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(зменшення собівартості)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Модернізація магістральних теплових мереж із заміною сталевих труб, прокладених в непрохідних ж / б каналах 2dx219 мм, на попередньоізольовані пінополіуретаном в поліетиленовій оболонці 2dx219/315 мм, вул. Кишинівська, від Тк7-53 до Тк7-56, м.Білгород-Дністровський,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1180,00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326,00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3,64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19,89</w:t>
            </w:r>
          </w:p>
        </w:tc>
      </w:tr>
      <w:tr>
        <w:trPr>
          <w:trHeight w:val="270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Модернізація магістральних теплових мереж з використанням попередньо ізольованих  сталевих труб від котельні вул.. Ізмаїльська-Шкільна,1 до житлового будинку по вул.. Ізмаїльська,№131А,  м. 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350,00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120,00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1,74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9,49</w:t>
            </w:r>
          </w:p>
        </w:tc>
      </w:tr>
      <w:tr>
        <w:trPr>
          <w:trHeight w:val="1179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Аварійний ремонт  ділянки теплових мереж по провулку Кирова, м. 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270,00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208,90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11,03</w:t>
            </w:r>
          </w:p>
        </w:tc>
      </w:tr>
      <w:tr>
        <w:trPr>
          <w:trHeight w:val="195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Аварійний ремонт  ділянки теплових мереж, вул. Миру – вул.. Тімірязева, м. 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200,00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218,00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11,44</w:t>
            </w:r>
          </w:p>
        </w:tc>
      </w:tr>
      <w:tr>
        <w:trPr>
          <w:trHeight w:val="280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both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2000,00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872,90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9,50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51,85</w:t>
            </w:r>
          </w:p>
        </w:tc>
      </w:tr>
    </w:tbl>
    <w:p>
      <w:pPr>
        <w:pStyle w:val="ListParagraph"/>
        <w:spacing w:before="0" w:after="0"/>
        <w:ind w:left="810" w:right="-143" w:hanging="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2.  При виробництві теплової енергії - «Модернізація котла КВ-ГМ-30-150 №6, для несення малих навантажень – 20,00 Гкал/годину, котельня вул. Перемоги,2 , на загальну суму – 4000,00 тис. грн.. Котел експлуатується понад 24 років, нормативний термін його експлуатації згідно паспорту складає 20років, стан його незадовільний.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Заміна сталевих труб та колекторів топкової і конвективної частини котла, після демонтажу труб та колекторів діючого котла №6,  Вартістю -  3281,67  тис. грн., кошти місцевого бюджету розвитку – 1935,61 тис. грн., власні кошти підприємства -1346,06 тис. грн.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Обладнати котел пальником струменево-нішевого спалювання, потужністю – 20,00 Гкал/годину. Вартістю – 400,00тис. грн., кошти місцевого бюджету розвитку.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Виконати якісну ізоляцію, для зменшення втрат з поверхонь огородження котла до значення не більше 0,25%. Вартістю -318,33 тис. грн.,  кошти місцевого бюджету розвитку.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Технічне переоснащення блока деараційно – підживленої установки котельні вул. Перемоги,2., на загальну суму -  339,76 тис. грн. (перша черга), власні кошти підприємства. 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</w:t>
      </w:r>
      <w:r>
        <w:rPr>
          <w:rFonts w:cs="Times New Roman" w:ascii="Times New Roman" w:hAnsi="Times New Roman"/>
          <w:lang w:val="uk-UA"/>
        </w:rPr>
        <w:t xml:space="preserve">Загальний обсяг фінансування ІП на 2018 рік складає: 6339,76 тис. грн., </w:t>
      </w:r>
    </w:p>
    <w:p>
      <w:pPr>
        <w:pStyle w:val="ListParagraph"/>
        <w:numPr>
          <w:ilvl w:val="0"/>
          <w:numId w:val="1"/>
        </w:numPr>
        <w:spacing w:before="0" w:after="0"/>
        <w:ind w:left="42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Власні кошти підприємства  - 3685,82 тис. грн.,або 58,14%.</w:t>
      </w:r>
    </w:p>
    <w:p>
      <w:pPr>
        <w:pStyle w:val="ListParagraph"/>
        <w:numPr>
          <w:ilvl w:val="0"/>
          <w:numId w:val="1"/>
        </w:numPr>
        <w:spacing w:before="0" w:after="0"/>
        <w:ind w:left="42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Кошти місцевого бюджету розвитку – 2653,94 тис. грн., або 41,86%</w:t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ListParagraph"/>
        <w:numPr>
          <w:ilvl w:val="0"/>
          <w:numId w:val="3"/>
        </w:numPr>
        <w:spacing w:before="0" w:after="0"/>
        <w:ind w:left="108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При виконанні заходів ІП на 2018 рік,  з  транспортування теплової енергії, очікується    економія палива    при зменшені втрат в теплових мережах  в обсязі 9,50 т. у. палива, або  заощадження 51,85 тис. грн., щорічно, за рахунок зменшення витрат фактичної собівартості.</w:t>
      </w:r>
    </w:p>
    <w:p>
      <w:pPr>
        <w:pStyle w:val="ListParagraph"/>
        <w:numPr>
          <w:ilvl w:val="0"/>
          <w:numId w:val="3"/>
        </w:numPr>
        <w:spacing w:before="0" w:after="0"/>
        <w:ind w:left="108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З виробництва теплової енергії:</w:t>
      </w:r>
    </w:p>
    <w:p>
      <w:pPr>
        <w:pStyle w:val="ListParagraph"/>
        <w:numPr>
          <w:ilvl w:val="1"/>
          <w:numId w:val="3"/>
        </w:numPr>
        <w:spacing w:before="0" w:after="0"/>
        <w:ind w:left="144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За рахунок зменшення навантаження  ККД котла підвищиться на 1,50%, що дає економію – 37,40т у. п., або 204,13 тис. грн. на рік.</w:t>
      </w:r>
    </w:p>
    <w:p>
      <w:pPr>
        <w:pStyle w:val="ListParagraph"/>
        <w:numPr>
          <w:ilvl w:val="1"/>
          <w:numId w:val="3"/>
        </w:numPr>
        <w:spacing w:before="0" w:after="0"/>
        <w:ind w:left="144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За рахунок заміни труб та колекторів зменшується  існуюча накип, що зменшує втрати умовного палива на 3,50 кг. у. п./ Гкал. Протягом року втрати умовного палива  зменшуються на 52740×3,5 =184,59 т. у. п., або дає можливість заощадити  184,59 ×5458,12=1007,51 тис. грн., на рік.</w:t>
      </w:r>
    </w:p>
    <w:p>
      <w:pPr>
        <w:pStyle w:val="ListParagraph"/>
        <w:numPr>
          <w:ilvl w:val="1"/>
          <w:numId w:val="3"/>
        </w:numPr>
        <w:spacing w:before="0" w:after="0"/>
        <w:ind w:left="1440" w:right="-143" w:hanging="36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Разом економія палива при виробництві теплової енергії складає: 37,40+184,59=221,99 т у .п., та економію коштів на 1211,64 тис. грн., на рік.</w:t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</w:t>
      </w:r>
      <w:r>
        <w:rPr>
          <w:rFonts w:cs="Times New Roman" w:ascii="Times New Roman" w:hAnsi="Times New Roman"/>
          <w:lang w:val="uk-UA"/>
        </w:rPr>
        <w:t xml:space="preserve">Виконання ІП на 2018 рік, дає можливість підприємству заощадити 9,50+221,99=231,11 т у. п., або зменшити витрати фактичної собівартості -  51,85+1211,64=1263,49 тис. грн., на рік. </w:t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</w:t>
      </w:r>
      <w:r>
        <w:rPr>
          <w:rFonts w:cs="Times New Roman" w:ascii="Times New Roman" w:hAnsi="Times New Roman"/>
          <w:lang w:val="uk-UA"/>
        </w:rPr>
        <w:t>Фактично станом на 01.12.2018 року виконані заходи передбачені ІП на 2018 рік на загальну суму 980,05 тис. грн., за власні кошти підприємства, або 15,46% від запланованої загальної вартості.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В повному обсязі виконане Технічне переоснащення блока деараційно – підживленої установки котельні вул. Перемоги,2., на загальну суму -  158,88 тис. грн. (перша черга).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color w:val="000000"/>
          <w:lang w:val="uk-UA" w:eastAsia="uk-UA"/>
        </w:rPr>
      </w:pPr>
      <w:r>
        <w:rPr>
          <w:rFonts w:eastAsia="Times New Roman" w:cs="Times New Roman" w:ascii="Times New Roman" w:hAnsi="Times New Roman"/>
          <w:color w:val="000000"/>
          <w:lang w:val="uk-UA" w:eastAsia="uk-UA"/>
        </w:rPr>
        <w:t>«Модернізація магістральних теплових мереж з використанням попередньо ізольованих  сталевих труб від котельні вул.. Ізмаїльська-Шкільна,1 до житлового будинку по вул.. Ізмаїльська,№131А, », на загальну суму - 612,22 тис. грн.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lang w:val="uk-UA" w:eastAsia="uk-UA"/>
        </w:rPr>
      </w:pPr>
      <w:r>
        <w:rPr>
          <w:rFonts w:eastAsia="Times New Roman" w:cs="Times New Roman" w:ascii="Times New Roman" w:hAnsi="Times New Roman"/>
          <w:lang w:val="uk-UA" w:eastAsia="uk-UA"/>
        </w:rPr>
        <w:t>«Аварійний ремонт ділянки теплових мереж, вул. Миру-вул. Тімірязєва,», на загальну суму – 208,95 тис. грн.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lang w:val="uk-UA" w:eastAsia="uk-UA"/>
        </w:rPr>
      </w:pPr>
      <w:r>
        <w:rPr>
          <w:rFonts w:eastAsia="Times New Roman" w:cs="Times New Roman" w:ascii="Times New Roman" w:hAnsi="Times New Roman"/>
          <w:lang w:val="uk-UA" w:eastAsia="uk-UA"/>
        </w:rPr>
        <w:t xml:space="preserve">      </w:t>
      </w:r>
      <w:r>
        <w:rPr>
          <w:rFonts w:eastAsia="Times New Roman" w:cs="Times New Roman" w:ascii="Times New Roman" w:hAnsi="Times New Roman"/>
          <w:lang w:val="uk-UA" w:eastAsia="uk-UA"/>
        </w:rPr>
        <w:t>Невиконання повних обсягів робіт передбачених ІП відбулося із-за відсутності коштів на підприємстві, та співфінансування з місцевого бюджету розвитку.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lang w:val="uk-UA" w:eastAsia="uk-UA"/>
        </w:rPr>
      </w:pPr>
      <w:r>
        <w:rPr>
          <w:rFonts w:eastAsia="Times New Roman" w:cs="Times New Roman" w:ascii="Times New Roman" w:hAnsi="Times New Roman"/>
          <w:lang w:val="uk-UA" w:eastAsia="uk-UA"/>
        </w:rPr>
        <w:t xml:space="preserve">     </w:t>
      </w:r>
      <w:r>
        <w:rPr>
          <w:rFonts w:eastAsia="Times New Roman" w:cs="Times New Roman" w:ascii="Times New Roman" w:hAnsi="Times New Roman"/>
          <w:lang w:val="uk-UA" w:eastAsia="uk-UA"/>
        </w:rPr>
        <w:t>Постановою КМУ від 18 червня 2014 року №217 «Про затвердження Порядку розподілу коштів, що надходять на поточні рахунки із спеціальним режимом використання, для проведення розрахунків з постачальником природного газу», підприємством примусово сплачено 3561,71 тис. грн.  НАК "Нафтогаз України" за нараховані пільги та субсидії населенню, кредитує Державний бюджет, а також у зв’язку зі збільшенням ціни на природний газ з 01.11.2018 року до моменту коригування тарифів підприємство отримує збитки.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lang w:val="uk-UA" w:eastAsia="uk-UA"/>
        </w:rPr>
      </w:pPr>
      <w:r>
        <w:rPr>
          <w:rFonts w:eastAsia="Times New Roman" w:cs="Times New Roman" w:ascii="Times New Roman" w:hAnsi="Times New Roman"/>
          <w:lang w:val="uk-UA" w:eastAsia="uk-UA"/>
        </w:rPr>
        <w:t xml:space="preserve">    </w:t>
      </w:r>
      <w:r>
        <w:rPr>
          <w:rFonts w:eastAsia="Times New Roman" w:cs="Times New Roman" w:ascii="Times New Roman" w:hAnsi="Times New Roman"/>
          <w:lang w:val="uk-UA" w:eastAsia="uk-UA"/>
        </w:rPr>
        <w:t>Крім того, в аварійному порядку, у листопаді місяці по вул.. Шабська, були виконані роботи по заміні сталевих труб на попередньо ізольовані, для виконанню робіт по асфальтуванню проїзної частини вулиці  протяжністю – 161м, на загальну суму – 231,80 тис. грн., з них 200,00 тис. грн. кошти місцевого бюджету.</w:t>
      </w:r>
    </w:p>
    <w:p>
      <w:pPr>
        <w:pStyle w:val="Normal"/>
        <w:rPr>
          <w:rFonts w:cs="Times New Roman" w:ascii="Times New Roman" w:hAnsi="Times New Roman"/>
          <w:lang w:val="uk-UA"/>
        </w:rPr>
      </w:pPr>
      <w:r>
        <w:rPr>
          <w:rFonts w:eastAsia="Times New Roman" w:cs="Times New Roman" w:ascii="Times New Roman" w:hAnsi="Times New Roman"/>
          <w:lang w:val="uk-UA" w:eastAsia="uk-UA"/>
        </w:rPr>
        <w:t xml:space="preserve">   </w:t>
      </w:r>
      <w:r>
        <w:rPr>
          <w:rFonts w:eastAsia="Times New Roman" w:cs="Times New Roman" w:ascii="Times New Roman" w:hAnsi="Times New Roman"/>
          <w:lang w:val="uk-UA" w:eastAsia="uk-UA"/>
        </w:rPr>
        <w:t xml:space="preserve">Інвестиційна програма (ІП) підприємства на 2019 рік передбачає виконання невідкладних будівельних робіт на загальну суму – 7582,25 тис. грн. З них кошти місцевого бюджету розвитку  - 3900,00 тис. грн., та кошти підприємства, передбачені  і діючих тарифах – 3682,25 тис. грн., з них амортизаційні відрахування на виробництво теплової енергії – 914,40 тис. грн., з транспортування – 1928,09 тис. грн., та кошти з прибутку підприємства – 839,76 тис. грн. </w:t>
      </w:r>
      <w:r>
        <w:rPr>
          <w:rFonts w:cs="Times New Roman" w:ascii="Times New Roman" w:hAnsi="Times New Roman"/>
          <w:lang w:val="uk-UA"/>
        </w:rPr>
        <w:t xml:space="preserve">.  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Використання коштів планується згідно фінансового плану Додаток №3</w:t>
      </w:r>
    </w:p>
    <w:p>
      <w:pPr>
        <w:pStyle w:val="ListParagraph"/>
        <w:numPr>
          <w:ilvl w:val="0"/>
          <w:numId w:val="5"/>
        </w:numPr>
        <w:rPr>
          <w:rFonts w:cs="Times New Roman" w:ascii="Times New Roman" w:hAnsi="Times New Roman"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При виробництві теплової енергії </w:t>
      </w:r>
    </w:p>
    <w:p>
      <w:pPr>
        <w:pStyle w:val="ListParagrap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- «Модернізація котла КВ-ГМ-30-150 №6, для несення малих навантажень – 20,00 Гкал/годину, котельня вул. Перемоги,2 , на загальну суму – 4300,00 тис. грн.. Котел експлуатується понад 25 років, нормативний термін його експлуатації згідно паспорту складає 20років, стан його незадовільний. Передбачається виконання наступного переліку работ.</w:t>
      </w:r>
    </w:p>
    <w:p>
      <w:pPr>
        <w:pStyle w:val="Normal"/>
        <w:spacing w:lineRule="auto" w:line="240" w:before="0" w:after="0"/>
        <w:ind w:left="720" w:right="0" w:hanging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1.1.Виготовлення та заміна діючих сталевих труб та колекторів топкової і радіаційної частини котла, після демонтажу труб та колекторів діючого котла №6,  Вартістю -  3381,67  тис. грн., кошти місцевого бюджету розвитку – 3200,00 тис. грн., власні кошти підприємства – 181,67 тис. грн.</w:t>
      </w:r>
    </w:p>
    <w:p>
      <w:pPr>
        <w:pStyle w:val="Normal"/>
        <w:spacing w:lineRule="auto" w:line="240" w:before="0" w:after="0"/>
        <w:ind w:left="720" w:right="0" w:hanging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1.2.Обладнати котел пальником струменево-нішевого спалювання, потужністю – 20,00 Гкал/годину. Вартістю – 500,00тис. грн., кошти підприємства.</w:t>
      </w:r>
    </w:p>
    <w:p>
      <w:pPr>
        <w:pStyle w:val="Normal"/>
        <w:spacing w:lineRule="auto" w:line="240" w:before="0" w:after="0"/>
        <w:ind w:left="720" w:right="0" w:hanging="0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1.3.Виконати якісну ізоляцію, для зменшення втрат з поверхонь огородження котла до значення не більше 0,25%. Вартістю - 418,33 тис. грн.,  кошти підприємства.</w:t>
      </w:r>
    </w:p>
    <w:p>
      <w:pPr>
        <w:pStyle w:val="ListParagraph"/>
        <w:numPr>
          <w:ilvl w:val="0"/>
          <w:numId w:val="5"/>
        </w:numPr>
        <w:spacing w:before="0" w:after="0"/>
        <w:ind w:left="720" w:right="-143" w:hanging="360"/>
        <w:contextualSpacing/>
        <w:jc w:val="both"/>
        <w:rPr>
          <w:rFonts w:cs="Times New Roman" w:ascii="Times New Roman" w:hAnsi="Times New Roman"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При транспортуванні теплової енергії</w:t>
      </w:r>
    </w:p>
    <w:p>
      <w:pPr>
        <w:pStyle w:val="ListParagraph"/>
        <w:spacing w:before="0" w:after="0"/>
        <w:ind w:left="720" w:right="-143" w:hanging="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- За рахунок капітального ремонту:  магістральних та розподільчих теплових мереж з заміною сталевих туб на попередньо ізольовані пінополіуретаном у поліетиленової оболонці від котельні вулиці Перемоги,2, згідно додатку №1 на загальну суму – 3282,25,00 тис. грн. з них власні кошти підприємства – 2582,25 тис. грн., та кошти місцевого бюджету розвитку – 700,00 тис. грн.</w:t>
      </w:r>
    </w:p>
    <w:p>
      <w:pPr>
        <w:pStyle w:val="ListParagraph"/>
        <w:spacing w:before="0" w:after="0"/>
        <w:ind w:left="720" w:right="-143" w:hanging="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Додаток№1</w:t>
      </w:r>
    </w:p>
    <w:tbl>
      <w:tblPr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826"/>
        <w:gridCol w:w="1417"/>
        <w:gridCol w:w="1977"/>
        <w:gridCol w:w="1694"/>
        <w:gridCol w:w="1444"/>
      </w:tblGrid>
      <w:tr>
        <w:trPr>
          <w:trHeight w:val="558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п/п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Найменування заходу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Об’єм  фінансування, тис. грн. 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Кількісні показники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однотрубному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вимірі,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м.п.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Економія ПЕР,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т.у.п.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Економія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тис.грн./рік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без ПДВ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(зменшення собівартості)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Модернізація магістральних теплових мереж із заміною сталевих труб, прокладених в непрохідних ж / б каналах 2dx219 мм, на попередньоізольовані пінополіуретаном в поліетиленовій оболонці 2dx219/315 мм, вул. Кишинівська, від Тк7-53 до Тк7-56, м.Білгород-Дністровський,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1100,00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326,00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3,69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36,90</w:t>
            </w:r>
          </w:p>
        </w:tc>
      </w:tr>
      <w:tr>
        <w:trPr>
          <w:trHeight w:val="270" w:hRule="atLeast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«Капітальний ремонт розподільчих теплових мереж із заміною сталевих труб на попередньо ізольовані від ТК1-11С до житлових будинків вул. Перемоги, №12,№13 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917,66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397,30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4,20 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42,17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1179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Аварійний ремонт  ділянки теплових мереж по провулку Кирова, м. Білгород-Дністровський, одеська область.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564,59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208,90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2,02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20,21</w:t>
            </w:r>
          </w:p>
        </w:tc>
      </w:tr>
      <w:tr>
        <w:trPr>
          <w:trHeight w:val="195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tbl>
            <w:tblPr>
              <w:jc w:val="center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28" w:type="dxa"/>
                <w:bottom w:w="0" w:type="dxa"/>
                <w:right w:w="28" w:type="dxa"/>
              </w:tblCellMar>
            </w:tblPr>
            <w:tblGrid>
              <w:gridCol w:w="15083"/>
            </w:tblGrid>
            <w:tr>
              <w:trPr>
                <w:cantSplit w:val="false"/>
              </w:trPr>
              <w:tc>
                <w:tcPr>
                  <w:tcW w:w="15083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keepLines/>
                    <w:spacing w:lineRule="auto" w:line="240" w:before="0" w:after="0"/>
                    <w:rPr>
                      <w:rFonts w:cs="Times New Roman" w:ascii="Times New Roman" w:hAnsi="Times New Roman"/>
                      <w:spacing w:val="-3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pacing w:val="-3"/>
                      <w:lang w:val="uk-UA"/>
                    </w:rPr>
                    <w:t xml:space="preserve">Капітальний  ремонт ділянки теплових мереж,  із заміною сталевих труб на попередньо ізольовані </w:t>
                  </w:r>
                  <w:r>
                    <w:rPr>
                      <w:rFonts w:cs="Times New Roman" w:ascii="Times New Roman" w:hAnsi="Times New Roman"/>
                      <w:lang w:val="uk-UA"/>
                    </w:rPr>
                    <w:t xml:space="preserve">в поліетиленовій оболонці </w:t>
                  </w:r>
                  <w:r>
                    <w:rPr>
                      <w:rFonts w:cs="Times New Roman" w:ascii="Times New Roman" w:hAnsi="Times New Roman"/>
                      <w:spacing w:val="-3"/>
                      <w:lang w:val="uk-UA"/>
                    </w:rPr>
                    <w:t>від ТК 8-7 до житлових будинків вул.. Шабська, 1а, 1б,</w:t>
                  </w:r>
                  <w:r>
                    <w:rPr>
                      <w:rFonts w:cs="Times New Roman"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pacing w:val="-3"/>
                      <w:lang w:val="uk-UA"/>
                    </w:rPr>
                    <w:t xml:space="preserve">(Аварійний стан) </w:t>
                  </w:r>
                  <w:r>
                    <w:rPr>
                      <w:rFonts w:cs="Times New Roman" w:ascii="Times New Roman" w:hAnsi="Times New Roman"/>
                      <w:spacing w:val="-3"/>
                    </w:rPr>
                    <w:t>м</w:t>
                  </w:r>
                  <w:r>
                    <w:rPr>
                      <w:rFonts w:cs="Times New Roman" w:ascii="Times New Roman" w:hAnsi="Times New Roman"/>
                      <w:spacing w:val="-3"/>
                      <w:lang w:val="uk-UA"/>
                    </w:rPr>
                    <w:t>.</w:t>
                  </w:r>
                  <w:r>
                    <w:rPr>
                      <w:rFonts w:cs="Times New Roman" w:ascii="Times New Roman" w:hAnsi="Times New Roman"/>
                      <w:spacing w:val="-3"/>
                    </w:rPr>
                    <w:t xml:space="preserve"> Білгород - Дністровський, Одеська область</w:t>
                  </w:r>
                  <w:r>
                    <w:rPr>
                      <w:rFonts w:cs="Times New Roman" w:ascii="Times New Roman" w:hAnsi="Times New Roman"/>
                      <w:spacing w:val="-3"/>
                      <w:lang w:val="uk-UA"/>
                    </w:rPr>
                    <w:t>.</w:t>
                  </w:r>
                </w:p>
              </w:tc>
            </w:tr>
          </w:tbl>
          <w:p>
            <w:pPr>
              <w:pStyle w:val="Normal"/>
              <w:spacing w:before="0" w:after="0"/>
              <w:ind w:left="0" w:right="-143" w:hanging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700,00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(місцевий бюджет)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590,00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6,20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61,99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both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3282,25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872,90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16,11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161,27</w:t>
            </w:r>
          </w:p>
          <w:p>
            <w:pPr>
              <w:pStyle w:val="Normal"/>
              <w:spacing w:before="0" w:after="0"/>
              <w:ind w:left="0" w:right="-143" w:hanging="0"/>
              <w:jc w:val="center"/>
              <w:rPr>
                <w:rFonts w:cs="Times New Roman" w:ascii="Times New Roman" w:hAnsi="Times New Roman"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ascii="Times New Roman" w:hAnsi="Times New Roman"/>
          <w:lang w:val="uk-UA" w:eastAsia="en-US"/>
        </w:rPr>
      </w:pPr>
      <w:r>
        <w:rPr>
          <w:rFonts w:cs="Calibri" w:ascii="Times New Roman" w:hAnsi="Times New Roman"/>
          <w:lang w:val="uk-UA" w:eastAsia="en-US"/>
        </w:rPr>
      </w:r>
    </w:p>
    <w:p>
      <w:pPr>
        <w:pStyle w:val="Normal"/>
        <w:spacing w:lineRule="auto" w:line="240" w:before="0" w:after="0"/>
        <w:rPr>
          <w:rFonts w:cs="Calibri" w:ascii="Times New Roman" w:hAnsi="Times New Roman"/>
          <w:lang w:val="uk-UA" w:eastAsia="en-US"/>
        </w:rPr>
      </w:pPr>
      <w:r>
        <w:rPr>
          <w:rFonts w:cs="Calibri" w:ascii="Times New Roman" w:hAnsi="Times New Roman"/>
          <w:lang w:val="uk-UA" w:eastAsia="en-US"/>
        </w:rPr>
        <w:t>При виконанні даних заходів ІП, згідно фінансового плану використання коштів (Додаток №3), дає можливість заощадити 221,99+16,11=238,10 т. у. п., або 2381,00 тис. грн. (дивіться  пункт 2.3). Термін окупності вкладених інвестицій в ІП 2019 року складає 7582,25/2381,00×12=38,2 місяців.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3"/>
          <w:szCs w:val="23"/>
          <w:lang w:val="uk-UA" w:eastAsia="uk-UA"/>
        </w:rPr>
      </w:pPr>
      <w:r>
        <w:rPr>
          <w:rFonts w:eastAsia="Times New Roman" w:cs="Times New Roman" w:ascii="Times New Roman" w:hAnsi="Times New Roman"/>
          <w:sz w:val="23"/>
          <w:szCs w:val="23"/>
          <w:lang w:val="uk-UA" w:eastAsia="uk-UA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lang w:val="uk-UA" w:eastAsia="uk-UA"/>
        </w:rPr>
      </w:pPr>
      <w:r>
        <w:rPr>
          <w:rFonts w:eastAsia="Times New Roman" w:cs="Times New Roman" w:ascii="Times New Roman" w:hAnsi="Times New Roman"/>
          <w:lang w:val="uk-UA" w:eastAsia="uk-UA"/>
        </w:rPr>
      </w:r>
    </w:p>
    <w:p>
      <w:pPr>
        <w:pStyle w:val="ListParagraph"/>
        <w:spacing w:before="0" w:after="0"/>
        <w:ind w:left="720" w:right="-143" w:hanging="0"/>
        <w:contextualSpacing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>З повагою,</w:t>
      </w:r>
    </w:p>
    <w:p>
      <w:pPr>
        <w:pStyle w:val="Normal"/>
        <w:spacing w:before="0" w:after="0"/>
        <w:ind w:left="0" w:right="-143" w:hanging="0"/>
        <w:jc w:val="both"/>
        <w:rPr>
          <w:rFonts w:cs="Times New Roman" w:ascii="Times New Roman" w:hAnsi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Директор КП «БДТЕ»                                                                                   М.М. Волканов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4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77c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ventname" w:customStyle="1">
    <w:name w:val="event--name"/>
    <w:rsid w:val="003b5d7d"/>
    <w:basedOn w:val="DefaultParagraphFont"/>
    <w:rPr/>
  </w:style>
  <w:style w:type="character" w:styleId="Bevname" w:customStyle="1">
    <w:name w:val="b_ev_name"/>
    <w:rsid w:val="003b5d7d"/>
    <w:basedOn w:val="DefaultParagraphFont"/>
    <w:rPr/>
  </w:style>
  <w:style w:type="character" w:styleId="Bevtype" w:customStyle="1">
    <w:name w:val="b_ev_type"/>
    <w:rsid w:val="003b5d7d"/>
    <w:basedOn w:val="DefaultParagraphFont"/>
    <w:rPr/>
  </w:style>
  <w:style w:type="character" w:styleId="Outcmn" w:customStyle="1">
    <w:name w:val="outcmn"/>
    <w:rsid w:val="003b5d7d"/>
    <w:basedOn w:val="DefaultParagraphFont"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sz w:val="20"/>
    </w:rPr>
  </w:style>
  <w:style w:type="character" w:styleId="ListLabel4">
    <w:name w:val="ListLabel 4"/>
    <w:rPr>
      <w:rFonts w:cs="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964a9"/>
    <w:basedOn w:val="Normal"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64a9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9BBC-0E88-4232-852A-FACE840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2018-11-30T07:47:00Z</dcterms:created>
  <dc:creator>TO sergey</dc:creator>
  <dc:language>uk-UA</dc:language>
  <cp:lastModifiedBy>jeka</cp:lastModifiedBy>
  <cp:lastPrinted>2018-12-04T14:23:00Z</cp:lastPrinted>
  <dcterms:modified xsi:type="dcterms:W3CDTF">2018-12-10T07:00:00Z</dcterms:modified>
  <cp:revision>75</cp:revision>
</cp:coreProperties>
</file>