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F" w:rsidRPr="004E67CF" w:rsidRDefault="004E67CF" w:rsidP="004E67CF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</w:pPr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>АНАЛІЗ  РЕГУЛЯТОРНОГО  ВПЛИВУ</w:t>
      </w:r>
    </w:p>
    <w:p w:rsidR="004E67CF" w:rsidRPr="004E67CF" w:rsidRDefault="004E67CF" w:rsidP="004E67CF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</w:pPr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 xml:space="preserve">Проекту рішення виконавчого комітету Білгород – Дністровської міської  ради «Про  встановлення тарифів  на </w:t>
      </w:r>
      <w:r w:rsidR="00F76F3A" w:rsidRPr="00F76F3A">
        <w:rPr>
          <w:rFonts w:ascii="Times New Roman" w:hAnsi="Times New Roman" w:cs="Times New Roman"/>
          <w:b/>
          <w:sz w:val="28"/>
          <w:szCs w:val="28"/>
          <w:lang w:val="uk-UA"/>
        </w:rPr>
        <w:t>оренду</w:t>
      </w:r>
      <w:r w:rsidR="00CC4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земельних ділянок</w:t>
      </w:r>
      <w:r w:rsidR="00F76F3A" w:rsidRPr="00F76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тимчасові споруди</w:t>
      </w:r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>КП</w:t>
      </w:r>
      <w:proofErr w:type="spellEnd"/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 xml:space="preserve"> «</w:t>
      </w:r>
      <w:proofErr w:type="spellStart"/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>Аккерманзеленбуд</w:t>
      </w:r>
      <w:proofErr w:type="spellEnd"/>
      <w:r w:rsidRPr="004E67CF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zh-CN"/>
        </w:rPr>
        <w:t xml:space="preserve"> Білгород-Дністровської міської ради».</w:t>
      </w:r>
    </w:p>
    <w:p w:rsidR="004E67CF" w:rsidRPr="004E67CF" w:rsidRDefault="004E67CF" w:rsidP="004E67CF">
      <w:pPr>
        <w:shd w:val="clear" w:color="auto" w:fill="FFFFFF"/>
        <w:spacing w:before="75" w:after="75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E67CF">
        <w:rPr>
          <w:rFonts w:ascii="Times New Roman" w:hAnsi="Times New Roman" w:cs="Times New Roman"/>
          <w:sz w:val="28"/>
          <w:szCs w:val="28"/>
          <w:lang w:val="uk-UA"/>
        </w:rPr>
        <w:t xml:space="preserve">Аналіз регуляторного впливу проекту рішення виконавчого комітету Білгород-Дністровської міської ради підготовлено  </w:t>
      </w:r>
      <w:proofErr w:type="spellStart"/>
      <w:r w:rsidRPr="004E67CF"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proofErr w:type="spellEnd"/>
      <w:r w:rsidRPr="004E6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4E67CF">
        <w:rPr>
          <w:rFonts w:ascii="Times New Roman" w:hAnsi="Times New Roman" w:cs="Times New Roman"/>
          <w:bCs/>
          <w:sz w:val="28"/>
          <w:szCs w:val="28"/>
          <w:lang w:val="uk-UA"/>
        </w:rPr>
        <w:t>Аккерманзеленбуд</w:t>
      </w:r>
      <w:proofErr w:type="spellEnd"/>
      <w:r w:rsidRPr="004E6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Білгород-Дністровської міської ради»</w:t>
      </w:r>
      <w:r w:rsidRPr="004E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7CF">
        <w:rPr>
          <w:rFonts w:ascii="Times New Roman" w:hAnsi="Times New Roman" w:cs="Times New Roman"/>
          <w:sz w:val="28"/>
          <w:szCs w:val="28"/>
          <w:lang w:val="uk-UA"/>
        </w:rPr>
        <w:t>згідно вимогам Закону України</w:t>
      </w:r>
      <w:r w:rsidR="00B82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7CF">
        <w:rPr>
          <w:rFonts w:ascii="Times New Roman" w:hAnsi="Times New Roman" w:cs="Times New Roman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діяльності». </w:t>
      </w:r>
      <w:r w:rsidRPr="004E67CF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E67C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E67C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67CF">
        <w:rPr>
          <w:rFonts w:ascii="Times New Roman" w:hAnsi="Times New Roman" w:cs="Times New Roman"/>
          <w:sz w:val="28"/>
          <w:szCs w:val="28"/>
        </w:rPr>
        <w:t xml:space="preserve"> 11.03.04 р. №308.</w:t>
      </w:r>
    </w:p>
    <w:p w:rsidR="004E67CF" w:rsidRPr="004E67CF" w:rsidRDefault="004E67CF" w:rsidP="004E67CF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CF">
        <w:rPr>
          <w:rFonts w:ascii="Times New Roman" w:hAnsi="Times New Roman" w:cs="Times New Roman"/>
          <w:b/>
          <w:sz w:val="28"/>
          <w:szCs w:val="28"/>
        </w:rPr>
        <w:t xml:space="preserve">Проблема, яку </w:t>
      </w:r>
      <w:proofErr w:type="spellStart"/>
      <w:r w:rsidRPr="004E67CF">
        <w:rPr>
          <w:rFonts w:ascii="Times New Roman" w:hAnsi="Times New Roman" w:cs="Times New Roman"/>
          <w:b/>
          <w:sz w:val="28"/>
          <w:szCs w:val="28"/>
        </w:rPr>
        <w:t>пропонується</w:t>
      </w:r>
      <w:proofErr w:type="spellEnd"/>
      <w:r w:rsidRPr="004E6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7CF">
        <w:rPr>
          <w:rFonts w:ascii="Times New Roman" w:hAnsi="Times New Roman" w:cs="Times New Roman"/>
          <w:b/>
          <w:sz w:val="28"/>
          <w:szCs w:val="28"/>
        </w:rPr>
        <w:t>розв’язати</w:t>
      </w:r>
      <w:proofErr w:type="spellEnd"/>
      <w:r w:rsidRPr="004E67CF">
        <w:rPr>
          <w:rFonts w:ascii="Times New Roman" w:hAnsi="Times New Roman" w:cs="Times New Roman"/>
          <w:b/>
          <w:sz w:val="28"/>
          <w:szCs w:val="28"/>
        </w:rPr>
        <w:t>.</w:t>
      </w:r>
    </w:p>
    <w:p w:rsidR="002C6ABD" w:rsidRPr="004E67CF" w:rsidRDefault="002C6ABD" w:rsidP="004E67CF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яку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акту, </w:t>
      </w:r>
      <w:proofErr w:type="spellStart"/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B8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500959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</w:t>
      </w:r>
      <w:proofErr w:type="spellEnd"/>
      <w:r w:rsid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82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</w:t>
      </w:r>
      <w:r w:rsidR="00F7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 xml:space="preserve">та оренду </w:t>
      </w:r>
      <w:proofErr w:type="gramStart"/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ід тимчасові споруди</w:t>
      </w:r>
      <w:r w:rsidR="00ED4B97" w:rsidRPr="00F7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</w:t>
      </w:r>
      <w:proofErr w:type="spellStart"/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обґрунтованих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фіксованої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F7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 xml:space="preserve">та оренду </w:t>
      </w:r>
      <w:proofErr w:type="gramStart"/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ід тимчасові споруди</w:t>
      </w: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BD" w:rsidRDefault="002C6ABD" w:rsidP="004E6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 послуги</w:t>
      </w:r>
      <w:r w:rsidR="00B7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оренди під тимчасові споруди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B97"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="00ED4B97"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proofErr w:type="gramStart"/>
      <w:r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gramEnd"/>
      <w:r w:rsidRPr="004E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ілгород-Дністровської міської ради</w:t>
      </w: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акт.</w:t>
      </w:r>
    </w:p>
    <w:p w:rsidR="004E67CF" w:rsidRPr="004E67CF" w:rsidRDefault="004E67CF" w:rsidP="004E6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межах,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належать органам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делеговано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proofErr w:type="gram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E6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7CF" w:rsidRPr="00510FE7" w:rsidRDefault="004E67CF" w:rsidP="004E6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FE7" w:rsidRPr="00510FE7" w:rsidRDefault="00510FE7" w:rsidP="00510FE7">
      <w:pPr>
        <w:numPr>
          <w:ilvl w:val="0"/>
          <w:numId w:val="18"/>
        </w:numPr>
        <w:tabs>
          <w:tab w:val="clear" w:pos="72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E7">
        <w:rPr>
          <w:rFonts w:ascii="Times New Roman" w:hAnsi="Times New Roman" w:cs="Times New Roman"/>
          <w:b/>
          <w:sz w:val="28"/>
          <w:szCs w:val="28"/>
        </w:rPr>
        <w:t xml:space="preserve"> Мета та </w:t>
      </w:r>
      <w:proofErr w:type="spellStart"/>
      <w:r w:rsidRPr="00510FE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10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FE7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510FE7">
        <w:rPr>
          <w:rFonts w:ascii="Times New Roman" w:hAnsi="Times New Roman" w:cs="Times New Roman"/>
          <w:b/>
          <w:sz w:val="28"/>
          <w:szCs w:val="28"/>
        </w:rPr>
        <w:t>.</w:t>
      </w:r>
    </w:p>
    <w:p w:rsidR="004E67CF" w:rsidRDefault="00C86481" w:rsidP="00C8648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цього регуляторного акта є встановлення тарифів </w:t>
      </w:r>
      <w:r w:rsidR="00FE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послуги</w:t>
      </w:r>
      <w:r w:rsidR="00F7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та оренду під тимчасові споруди</w:t>
      </w:r>
      <w:r w:rsidR="00FE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надаються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</w:t>
      </w:r>
      <w:r w:rsidR="00FE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43A4" w:rsidRDefault="00CC43A4" w:rsidP="00C8648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Метою регулювання є: </w:t>
      </w:r>
    </w:p>
    <w:p w:rsidR="00CC43A4" w:rsidRDefault="00CC43A4" w:rsidP="00C8648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врегулювання питання щодо ліквідації несанкціонованої торгівлі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м.білгород-Дністровському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CC43A4" w:rsidRDefault="00CC43A4" w:rsidP="00CC43A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розвиток підприємства;</w:t>
      </w:r>
    </w:p>
    <w:p w:rsidR="00CC43A4" w:rsidRDefault="00CC43A4" w:rsidP="00CC43A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здійснення надходжень у міській бюджет від суб’єктів підприємницької діяльності. </w:t>
      </w:r>
    </w:p>
    <w:p w:rsidR="004E67CF" w:rsidRDefault="004E67CF" w:rsidP="004E6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FE7" w:rsidRPr="00670C17" w:rsidRDefault="00510FE7" w:rsidP="00510FE7">
      <w:pPr>
        <w:pStyle w:val="a4"/>
        <w:numPr>
          <w:ilvl w:val="0"/>
          <w:numId w:val="18"/>
        </w:numPr>
        <w:shd w:val="clear" w:color="auto" w:fill="FFFFFF"/>
        <w:spacing w:before="75" w:after="75" w:line="255" w:lineRule="atLeast"/>
        <w:ind w:right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3A4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оцінка усіх прийнятних альтернативних способів досягнення  зазначених цілей.</w:t>
      </w:r>
    </w:p>
    <w:p w:rsidR="00670C17" w:rsidRPr="00670C17" w:rsidRDefault="00670C17" w:rsidP="00670C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Альтернативним способом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тарифів 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такому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реальною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="00B8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необґрунтованого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надприбутків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C17" w:rsidRPr="00670C17" w:rsidRDefault="00670C17" w:rsidP="00670C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рентабельності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F7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3A">
        <w:rPr>
          <w:rFonts w:ascii="Times New Roman" w:hAnsi="Times New Roman" w:cs="Times New Roman"/>
          <w:sz w:val="28"/>
          <w:szCs w:val="28"/>
          <w:lang w:val="uk-UA"/>
        </w:rPr>
        <w:t>та оренди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 xml:space="preserve"> під тимчасові споруди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C17" w:rsidRPr="00670C17" w:rsidRDefault="00670C17" w:rsidP="00F76F3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слід відзначити, що оплата за </w:t>
      </w:r>
      <w:r w:rsidR="00F76F3A">
        <w:rPr>
          <w:rFonts w:ascii="Times New Roman" w:hAnsi="Times New Roman" w:cs="Times New Roman"/>
          <w:sz w:val="28"/>
          <w:szCs w:val="28"/>
          <w:lang w:val="uk-UA"/>
        </w:rPr>
        <w:t xml:space="preserve">оренду під тимчасові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споруди</w:t>
      </w:r>
      <w:r w:rsidR="00F7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ради»</w:t>
      </w:r>
      <w:r w:rsidR="00B82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здійснюватися за в</w:t>
      </w:r>
      <w:r w:rsidR="00F7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артістю, розрахованою суб’єктом 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господарювання, виходячи з власних витрат, які склалися на теперішній час, та в межах встановленої вартості робіт (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оренду під тимчасові споруди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граничного рівня рентабельності, визначеного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підприємств комунальної форми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C17" w:rsidRDefault="00670C17" w:rsidP="00670C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 «Про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</w:t>
      </w:r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оренду під тимчасові споруди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«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proofErr w:type="gramStart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gramEnd"/>
      <w:r w:rsidRPr="0067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ілгород-Дністровської міської ради»</w:t>
      </w:r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дозволить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вищезазначених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7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713" w:rsidRPr="00FA0713" w:rsidRDefault="00FA0713" w:rsidP="00670C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13" w:rsidRPr="00FA0713" w:rsidRDefault="00FA0713" w:rsidP="00FA071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713">
        <w:rPr>
          <w:rFonts w:ascii="Times New Roman" w:hAnsi="Times New Roman" w:cs="Times New Roman"/>
          <w:b/>
          <w:sz w:val="28"/>
          <w:szCs w:val="28"/>
          <w:lang w:val="uk-UA"/>
        </w:rPr>
        <w:t>Опис механізмів і заходів, які забезпечують розв’язання визначеної проблеми.</w:t>
      </w:r>
    </w:p>
    <w:p w:rsidR="00E92480" w:rsidRPr="00E92480" w:rsidRDefault="00E92480" w:rsidP="00E924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Указану вище проблему планується розв’язати шляхом встановлення рівня тарифів на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оренду під тимчасові споруди</w:t>
      </w: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надаються комунальним підприємством «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ради»</w:t>
      </w:r>
      <w:bookmarkStart w:id="0" w:name="_GoBack"/>
      <w:bookmarkEnd w:id="0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рішенням виконавчого комітету</w:t>
      </w:r>
      <w:r w:rsidR="00E5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Білгород-Дністровської міської ради.</w:t>
      </w:r>
    </w:p>
    <w:p w:rsidR="0000188C" w:rsidRPr="0000188C" w:rsidRDefault="00E92480" w:rsidP="00E924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Ступінь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буде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оцінюватись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результатами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визначених показникі</w:t>
      </w:r>
      <w:proofErr w:type="gramStart"/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акту.</w:t>
      </w:r>
    </w:p>
    <w:p w:rsidR="00F76F3A" w:rsidRDefault="00E92480" w:rsidP="009D5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 буде створено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="00E5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тарифів з</w:t>
      </w: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підприємством </w:t>
      </w:r>
      <w:r w:rsidR="0000188C"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0188C"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proofErr w:type="gramStart"/>
      <w:r w:rsidR="0000188C"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gramEnd"/>
      <w:r w:rsidR="0000188C"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ілгород-Дністровської міської ради»</w:t>
      </w:r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517C" w:rsidRDefault="009D517C" w:rsidP="009D517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впровадження  та виконання </w:t>
      </w:r>
      <w:proofErr w:type="spellStart"/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>вимогакта</w:t>
      </w:r>
      <w:proofErr w:type="spellEnd"/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 xml:space="preserve"> органами державної влади, органами місцевого самоврядування суб’єктами підприємницької діяльності.</w:t>
      </w:r>
    </w:p>
    <w:p w:rsidR="00CC43A4" w:rsidRPr="009D517C" w:rsidRDefault="009D517C" w:rsidP="009D517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 xml:space="preserve">Проте слід зазначити, що </w:t>
      </w:r>
      <w:proofErr w:type="spellStart"/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>данним</w:t>
      </w:r>
      <w:proofErr w:type="spellEnd"/>
      <w:r w:rsidR="00CC43A4" w:rsidRPr="009D517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регуляторним актом не визначений механізм повної або часткової </w:t>
      </w:r>
      <w:r w:rsidR="009D4150" w:rsidRPr="009D517C">
        <w:rPr>
          <w:rFonts w:ascii="Times New Roman" w:hAnsi="Times New Roman" w:cs="Times New Roman"/>
          <w:sz w:val="28"/>
          <w:szCs w:val="28"/>
          <w:lang w:val="uk-UA"/>
        </w:rPr>
        <w:t>компенсації можливої шкоди у разі настання очікування наслідків дії акта.</w:t>
      </w:r>
    </w:p>
    <w:p w:rsidR="009D517C" w:rsidRPr="00CC43A4" w:rsidRDefault="009D517C" w:rsidP="00CC43A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80" w:rsidRPr="009D4150" w:rsidRDefault="00E92480" w:rsidP="009D4150">
      <w:pPr>
        <w:pStyle w:val="a4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415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480" w:rsidRPr="00E92480" w:rsidRDefault="00E92480" w:rsidP="00E924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480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E92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480">
        <w:rPr>
          <w:rFonts w:ascii="Times New Roman" w:hAnsi="Times New Roman" w:cs="Times New Roman"/>
          <w:b/>
          <w:sz w:val="28"/>
          <w:szCs w:val="28"/>
        </w:rPr>
        <w:t>запропонованого</w:t>
      </w:r>
      <w:proofErr w:type="spellEnd"/>
      <w:r w:rsidRPr="00E92480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акта.</w:t>
      </w:r>
    </w:p>
    <w:p w:rsidR="00E92480" w:rsidRPr="00E92480" w:rsidRDefault="00E92480" w:rsidP="00E924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тарифів на послуги</w:t>
      </w:r>
      <w:r w:rsidR="00F7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>та оренду під тимчасові споруди</w:t>
      </w:r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надаються 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ради», надасть можливість підприємству виконувати роботи та надавати послуги на рівні економічно обґрунтованих витрат. </w:t>
      </w:r>
    </w:p>
    <w:p w:rsidR="00E92480" w:rsidRPr="00E92480" w:rsidRDefault="009D4150" w:rsidP="00E924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92480" w:rsidRPr="00E92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в дію цього регуляторного акта дозволить відшкодовувати витрати, пов’язані з наданням зазначених послуг, забезпечити захист населення та підприємств від необґрунтованого підвищення вартості послуг.</w:t>
      </w:r>
    </w:p>
    <w:p w:rsidR="00FA0713" w:rsidRPr="00B821FF" w:rsidRDefault="00FA0713" w:rsidP="00E92480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480" w:rsidRPr="009D4150" w:rsidRDefault="00E92480" w:rsidP="009D4150">
      <w:pPr>
        <w:pStyle w:val="a4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запропонованого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акта.</w:t>
      </w:r>
    </w:p>
    <w:p w:rsidR="00C86481" w:rsidRPr="00C86481" w:rsidRDefault="00C86481" w:rsidP="00C864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регуляторного акту надасть можливість забезпечувати 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Білгород-Дністровський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ради», встановити тарифи на рівні економічно обґрунтованих витрат, поліпшити фінансово-економічний стан підприємства, покращити якість послуг.</w:t>
      </w:r>
    </w:p>
    <w:p w:rsidR="00C86481" w:rsidRPr="00C86481" w:rsidRDefault="00C86481" w:rsidP="00C864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тарифів,</w:t>
      </w: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481" w:rsidRPr="00C86481" w:rsidRDefault="00C86481" w:rsidP="00C864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«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Аккерманзеленбуд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Білгород-Дністровської міської ради»</w:t>
      </w: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відшкодовувати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рівнем тарифів</w:t>
      </w:r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481" w:rsidRPr="00C86481" w:rsidRDefault="00C86481" w:rsidP="00C864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</w:t>
      </w:r>
      <w:r w:rsidR="00E5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необґрунтованого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86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481" w:rsidRDefault="00C86481" w:rsidP="00C86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17C" w:rsidRPr="009D517C" w:rsidRDefault="009D517C" w:rsidP="00C86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481" w:rsidRPr="00C86481" w:rsidRDefault="00C86481" w:rsidP="00C86481">
      <w:pPr>
        <w:spacing w:after="0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8648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Таблиця вигод і витрат</w:t>
      </w:r>
      <w:r w:rsidRPr="00C864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4375"/>
        <w:gridCol w:w="3066"/>
      </w:tblGrid>
      <w:tr w:rsidR="00C86481" w:rsidRPr="004E67CF" w:rsidTr="00006ADE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C86481" w:rsidRDefault="00C86481" w:rsidP="00C8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впливу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4E67CF" w:rsidRDefault="00C86481" w:rsidP="0000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481" w:rsidRPr="004E67CF" w:rsidRDefault="00C86481" w:rsidP="0000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86481" w:rsidRPr="004E67CF" w:rsidTr="00006ADE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C86481" w:rsidRDefault="00C86481" w:rsidP="0000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E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4E67CF" w:rsidRDefault="00C86481" w:rsidP="0000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тарифів</w:t>
            </w: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обґрунтованою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481" w:rsidRPr="00C86481" w:rsidRDefault="00C86481" w:rsidP="0000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Наявних витрат не передбачається</w:t>
            </w:r>
          </w:p>
        </w:tc>
      </w:tr>
      <w:tr w:rsidR="00C86481" w:rsidRPr="004E67CF" w:rsidTr="00006ADE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C86481" w:rsidRDefault="00C86481" w:rsidP="00006AD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 «</w:t>
            </w:r>
            <w:proofErr w:type="spellStart"/>
            <w:r w:rsidRPr="00C86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Аккерманзеленбуд</w:t>
            </w:r>
            <w:proofErr w:type="spellEnd"/>
            <w:proofErr w:type="gramStart"/>
            <w:r w:rsidRPr="00C86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</w:t>
            </w:r>
            <w:proofErr w:type="gramEnd"/>
            <w:r w:rsidRPr="00C86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ілгород-Дністровської міської ради»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4E67CF" w:rsidRDefault="00C86481" w:rsidP="0000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паливно-мастильні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тарифів</w:t>
            </w: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481" w:rsidRPr="004E67CF" w:rsidRDefault="00C86481" w:rsidP="0000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</w:tc>
      </w:tr>
      <w:tr w:rsidR="00C86481" w:rsidRPr="004E67CF" w:rsidTr="00006ADE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C86481" w:rsidRDefault="00C86481" w:rsidP="0000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481" w:rsidRPr="00C86481" w:rsidRDefault="00C86481" w:rsidP="0000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6481">
              <w:rPr>
                <w:rFonts w:ascii="Times New Roman" w:hAnsi="Times New Roman" w:cs="Times New Roman"/>
                <w:lang w:val="uk-UA"/>
              </w:rPr>
              <w:t xml:space="preserve">Стабільні надходження до бюджету міста завдяки прибутковій діяльності </w:t>
            </w:r>
            <w:proofErr w:type="spellStart"/>
            <w:r w:rsidRPr="00C86481">
              <w:rPr>
                <w:rFonts w:ascii="Times New Roman" w:hAnsi="Times New Roman" w:cs="Times New Roman"/>
                <w:bCs/>
                <w:lang w:val="uk-UA"/>
              </w:rPr>
              <w:t>КП</w:t>
            </w:r>
            <w:proofErr w:type="spellEnd"/>
            <w:r w:rsidRPr="00C86481">
              <w:rPr>
                <w:rFonts w:ascii="Times New Roman" w:hAnsi="Times New Roman" w:cs="Times New Roman"/>
                <w:bCs/>
                <w:lang w:val="uk-UA"/>
              </w:rPr>
              <w:t xml:space="preserve"> «</w:t>
            </w:r>
            <w:proofErr w:type="spellStart"/>
            <w:r w:rsidRPr="00C86481">
              <w:rPr>
                <w:rFonts w:ascii="Times New Roman" w:hAnsi="Times New Roman" w:cs="Times New Roman"/>
                <w:bCs/>
                <w:lang w:val="uk-UA"/>
              </w:rPr>
              <w:t>Аккерманзеленбуд</w:t>
            </w:r>
            <w:proofErr w:type="spellEnd"/>
            <w:r w:rsidRPr="00C86481">
              <w:rPr>
                <w:rFonts w:ascii="Times New Roman" w:hAnsi="Times New Roman" w:cs="Times New Roman"/>
                <w:bCs/>
                <w:lang w:val="uk-UA"/>
              </w:rPr>
              <w:t xml:space="preserve"> Білгород-Дністровської міської ради»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481" w:rsidRPr="00C86481" w:rsidRDefault="00C86481" w:rsidP="00C8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розробки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регуляторного акта (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спеціалі</w:t>
            </w:r>
            <w:proofErr w:type="gram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>підготовкою</w:t>
            </w:r>
            <w:proofErr w:type="spellEnd"/>
            <w:r w:rsidRPr="00C864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регуляторного акта)</w:t>
            </w:r>
          </w:p>
        </w:tc>
      </w:tr>
    </w:tbl>
    <w:p w:rsidR="00C86481" w:rsidRDefault="00C86481" w:rsidP="00C86481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F3A" w:rsidRPr="00C86481" w:rsidRDefault="00F76F3A" w:rsidP="00C86481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481" w:rsidRPr="00C86481" w:rsidRDefault="00C86481" w:rsidP="00DC2B4C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480" w:rsidRPr="009D4150" w:rsidRDefault="00E92480" w:rsidP="009D4150">
      <w:pPr>
        <w:pStyle w:val="a4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строку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50">
        <w:rPr>
          <w:rFonts w:ascii="Times New Roman" w:hAnsi="Times New Roman" w:cs="Times New Roman"/>
          <w:b/>
          <w:sz w:val="28"/>
          <w:szCs w:val="28"/>
        </w:rPr>
        <w:t>запропонованого</w:t>
      </w:r>
      <w:proofErr w:type="spell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4150">
        <w:rPr>
          <w:rFonts w:ascii="Times New Roman" w:hAnsi="Times New Roman" w:cs="Times New Roman"/>
          <w:b/>
          <w:sz w:val="28"/>
          <w:szCs w:val="28"/>
        </w:rPr>
        <w:t>регуляторного</w:t>
      </w:r>
      <w:proofErr w:type="gramEnd"/>
      <w:r w:rsidRPr="009D4150">
        <w:rPr>
          <w:rFonts w:ascii="Times New Roman" w:hAnsi="Times New Roman" w:cs="Times New Roman"/>
          <w:b/>
          <w:sz w:val="28"/>
          <w:szCs w:val="28"/>
        </w:rPr>
        <w:t xml:space="preserve"> акту.</w:t>
      </w:r>
    </w:p>
    <w:p w:rsidR="00DC2B4C" w:rsidRPr="009D4150" w:rsidRDefault="00DC2B4C" w:rsidP="000018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необмеженим</w:t>
      </w: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вноситимуться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9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дстеження</w:t>
      </w:r>
      <w:proofErr w:type="spellEnd"/>
      <w:r w:rsidR="009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9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="009D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у зв’язку зі зміною чинного законодавства.</w:t>
      </w:r>
    </w:p>
    <w:p w:rsidR="00DC2B4C" w:rsidRPr="00E92480" w:rsidRDefault="00DC2B4C" w:rsidP="00DC2B4C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FE7" w:rsidRPr="00DC2B4C" w:rsidRDefault="00E92480" w:rsidP="009D4150">
      <w:pPr>
        <w:pStyle w:val="a4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480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E92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480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E92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2480">
        <w:rPr>
          <w:rFonts w:ascii="Times New Roman" w:hAnsi="Times New Roman" w:cs="Times New Roman"/>
          <w:b/>
          <w:sz w:val="28"/>
          <w:szCs w:val="28"/>
        </w:rPr>
        <w:t>регуляторного</w:t>
      </w:r>
      <w:proofErr w:type="gramEnd"/>
      <w:r w:rsidRPr="00E92480">
        <w:rPr>
          <w:rFonts w:ascii="Times New Roman" w:hAnsi="Times New Roman" w:cs="Times New Roman"/>
          <w:b/>
          <w:sz w:val="28"/>
          <w:szCs w:val="28"/>
        </w:rPr>
        <w:t xml:space="preserve"> акту</w:t>
      </w:r>
      <w:r w:rsidRPr="00E924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C2B4C" w:rsidRP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B4C" w:rsidRP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фактичний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покриття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F76F3A" w:rsidRPr="00F76F3A">
        <w:rPr>
          <w:rFonts w:ascii="Times New Roman" w:hAnsi="Times New Roman" w:cs="Times New Roman"/>
          <w:sz w:val="28"/>
          <w:szCs w:val="28"/>
          <w:lang w:val="uk-UA"/>
        </w:rPr>
        <w:t xml:space="preserve"> та оренду під тимчасові споруди</w:t>
      </w: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комунальним підприємством</w:t>
      </w: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B4C" w:rsidRP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суб’єктів господарювання, та/або фізичних </w:t>
      </w:r>
      <w:proofErr w:type="gramStart"/>
      <w:r w:rsidR="009D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proofErr w:type="gramEnd"/>
      <w:r w:rsidR="009D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яких поширюватимуться суб’єкт;</w:t>
      </w:r>
    </w:p>
    <w:p w:rsidR="009D4150" w:rsidRPr="009D4150" w:rsidRDefault="009D4150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розмір коштів і час, що витрачатимуться суб’єкт господарювання та/або фізичних осіб пов’язаними з виконанням вимог акта.</w:t>
      </w:r>
    </w:p>
    <w:p w:rsidR="00DC2B4C" w:rsidRPr="009D4150" w:rsidRDefault="00DC2B4C" w:rsidP="00510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4C" w:rsidRDefault="00DC2B4C" w:rsidP="00510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4C" w:rsidRPr="00DC2B4C" w:rsidRDefault="00DC2B4C" w:rsidP="0000188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4C">
        <w:rPr>
          <w:rFonts w:ascii="Times New Roman" w:hAnsi="Times New Roman" w:cs="Times New Roman"/>
          <w:b/>
          <w:sz w:val="28"/>
          <w:szCs w:val="28"/>
        </w:rPr>
        <w:t xml:space="preserve">9. Заходи, за </w:t>
      </w:r>
      <w:proofErr w:type="spellStart"/>
      <w:r w:rsidRPr="00DC2B4C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DC2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B4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DC2B4C">
        <w:rPr>
          <w:rFonts w:ascii="Times New Roman" w:hAnsi="Times New Roman" w:cs="Times New Roman"/>
          <w:b/>
          <w:sz w:val="28"/>
          <w:szCs w:val="28"/>
        </w:rPr>
        <w:t xml:space="preserve"> буде </w:t>
      </w:r>
      <w:proofErr w:type="spellStart"/>
      <w:r w:rsidRPr="00DC2B4C">
        <w:rPr>
          <w:rFonts w:ascii="Times New Roman" w:hAnsi="Times New Roman" w:cs="Times New Roman"/>
          <w:b/>
          <w:sz w:val="28"/>
          <w:szCs w:val="28"/>
        </w:rPr>
        <w:t>здійснюватися</w:t>
      </w:r>
      <w:proofErr w:type="spellEnd"/>
      <w:r w:rsidRPr="00DC2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B4C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DC2B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2B4C" w:rsidRDefault="00DC2B4C" w:rsidP="0000188C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2B4C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DC2B4C">
        <w:rPr>
          <w:rFonts w:ascii="Times New Roman" w:hAnsi="Times New Roman" w:cs="Times New Roman"/>
          <w:b/>
          <w:sz w:val="28"/>
          <w:szCs w:val="28"/>
        </w:rPr>
        <w:t xml:space="preserve"> акту: </w:t>
      </w:r>
    </w:p>
    <w:p w:rsidR="0000188C" w:rsidRPr="004E556C" w:rsidRDefault="004E556C" w:rsidP="004E556C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9D4150" w:rsidRPr="004E556C">
        <w:rPr>
          <w:rFonts w:ascii="Times New Roman" w:hAnsi="Times New Roman" w:cs="Times New Roman"/>
          <w:sz w:val="28"/>
          <w:szCs w:val="28"/>
          <w:lang w:val="uk-UA"/>
        </w:rPr>
        <w:t>Для здійснення відстеження результативності 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торного акта </w:t>
      </w:r>
      <w:r w:rsidR="009D4150" w:rsidRPr="004E556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використання статистичних </w:t>
      </w:r>
      <w:r w:rsidRPr="004E556C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можливим проведенням соціологічного опитування суб’єкт господарювання.</w:t>
      </w:r>
      <w:r w:rsidRPr="004E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B4C" w:rsidRP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регуляторним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акта.</w:t>
      </w:r>
    </w:p>
    <w:p w:rsidR="00DC2B4C" w:rsidRPr="00DC2B4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акта, за результатами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та повторного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неврегульованих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усунені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B4C" w:rsidRPr="0000188C" w:rsidRDefault="00DC2B4C" w:rsidP="00DC2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Періодичне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три роки,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018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ходів</w:t>
      </w:r>
      <w:proofErr w:type="spellEnd"/>
      <w:r w:rsidR="000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8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="0000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="00001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6013" w:rsidRDefault="00FE6013" w:rsidP="00FE6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17C" w:rsidRDefault="009D517C" w:rsidP="00FE6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6013" w:rsidRDefault="00FE6013" w:rsidP="00FE6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</w:p>
    <w:p w:rsidR="00FE6013" w:rsidRPr="0000188C" w:rsidRDefault="00FE6013" w:rsidP="00FE6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01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FE6013">
        <w:rPr>
          <w:rFonts w:ascii="Times New Roman" w:hAnsi="Times New Roman" w:cs="Times New Roman"/>
          <w:bCs/>
          <w:sz w:val="28"/>
          <w:szCs w:val="28"/>
          <w:lang w:val="uk-UA"/>
        </w:rPr>
        <w:t>Аккерманзеленбуд</w:t>
      </w:r>
      <w:proofErr w:type="spellEnd"/>
      <w:r w:rsidRPr="00FE601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E871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Мусаєв</w:t>
      </w:r>
      <w:proofErr w:type="spellEnd"/>
    </w:p>
    <w:sectPr w:rsidR="00FE6013" w:rsidRPr="0000188C" w:rsidSect="009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F03BA6"/>
    <w:multiLevelType w:val="multilevel"/>
    <w:tmpl w:val="FC6C7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0D25"/>
    <w:multiLevelType w:val="multilevel"/>
    <w:tmpl w:val="26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E0F19"/>
    <w:multiLevelType w:val="multilevel"/>
    <w:tmpl w:val="C31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71D4"/>
    <w:multiLevelType w:val="multilevel"/>
    <w:tmpl w:val="4D680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66AD7"/>
    <w:multiLevelType w:val="multilevel"/>
    <w:tmpl w:val="02283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03065"/>
    <w:multiLevelType w:val="hybridMultilevel"/>
    <w:tmpl w:val="30D85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644"/>
    <w:multiLevelType w:val="multilevel"/>
    <w:tmpl w:val="C6AE9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6424B"/>
    <w:multiLevelType w:val="multilevel"/>
    <w:tmpl w:val="EFDE9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36981"/>
    <w:multiLevelType w:val="multilevel"/>
    <w:tmpl w:val="74A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15609"/>
    <w:multiLevelType w:val="multilevel"/>
    <w:tmpl w:val="B8705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D695C"/>
    <w:multiLevelType w:val="multilevel"/>
    <w:tmpl w:val="71E24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B3782"/>
    <w:multiLevelType w:val="hybridMultilevel"/>
    <w:tmpl w:val="C5668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E6BF5"/>
    <w:multiLevelType w:val="multilevel"/>
    <w:tmpl w:val="EE68B4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64C9"/>
    <w:multiLevelType w:val="multilevel"/>
    <w:tmpl w:val="849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500C7"/>
    <w:multiLevelType w:val="multilevel"/>
    <w:tmpl w:val="0E08A2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F5B54"/>
    <w:multiLevelType w:val="multilevel"/>
    <w:tmpl w:val="D5F0F9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C61CF"/>
    <w:multiLevelType w:val="multilevel"/>
    <w:tmpl w:val="25A0D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33918"/>
    <w:multiLevelType w:val="multilevel"/>
    <w:tmpl w:val="0248D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D1800"/>
    <w:multiLevelType w:val="multilevel"/>
    <w:tmpl w:val="BE58E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0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8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BD"/>
    <w:rsid w:val="0000188C"/>
    <w:rsid w:val="00037232"/>
    <w:rsid w:val="000A32FB"/>
    <w:rsid w:val="002B0D94"/>
    <w:rsid w:val="002C1101"/>
    <w:rsid w:val="002C6ABD"/>
    <w:rsid w:val="003306F6"/>
    <w:rsid w:val="004403AB"/>
    <w:rsid w:val="004A059B"/>
    <w:rsid w:val="004E556C"/>
    <w:rsid w:val="004E67CF"/>
    <w:rsid w:val="00500959"/>
    <w:rsid w:val="00510FE7"/>
    <w:rsid w:val="00533616"/>
    <w:rsid w:val="0062138F"/>
    <w:rsid w:val="00670C17"/>
    <w:rsid w:val="006C1EE6"/>
    <w:rsid w:val="006E2D76"/>
    <w:rsid w:val="00784A86"/>
    <w:rsid w:val="00960F14"/>
    <w:rsid w:val="009D4150"/>
    <w:rsid w:val="009D517C"/>
    <w:rsid w:val="00A726CB"/>
    <w:rsid w:val="00AC37CD"/>
    <w:rsid w:val="00AE2772"/>
    <w:rsid w:val="00AF65BF"/>
    <w:rsid w:val="00B22B2E"/>
    <w:rsid w:val="00B74916"/>
    <w:rsid w:val="00B821FF"/>
    <w:rsid w:val="00BB1A9D"/>
    <w:rsid w:val="00C86481"/>
    <w:rsid w:val="00CB7E39"/>
    <w:rsid w:val="00CC43A4"/>
    <w:rsid w:val="00D24D36"/>
    <w:rsid w:val="00DC2B4C"/>
    <w:rsid w:val="00E569D4"/>
    <w:rsid w:val="00E76175"/>
    <w:rsid w:val="00E87114"/>
    <w:rsid w:val="00E92480"/>
    <w:rsid w:val="00ED4B97"/>
    <w:rsid w:val="00F144A6"/>
    <w:rsid w:val="00F57452"/>
    <w:rsid w:val="00F76F3A"/>
    <w:rsid w:val="00FA0713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4"/>
  </w:style>
  <w:style w:type="paragraph" w:styleId="2">
    <w:name w:val="heading 2"/>
    <w:basedOn w:val="a"/>
    <w:link w:val="20"/>
    <w:uiPriority w:val="9"/>
    <w:qFormat/>
    <w:rsid w:val="002C6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2018-04-16T07:34:00Z</cp:lastPrinted>
  <dcterms:created xsi:type="dcterms:W3CDTF">2018-04-16T07:35:00Z</dcterms:created>
  <dcterms:modified xsi:type="dcterms:W3CDTF">2018-04-19T14:12:00Z</dcterms:modified>
</cp:coreProperties>
</file>